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CDAC" w14:textId="77777777" w:rsidR="00F91B1E" w:rsidRPr="00453F31" w:rsidRDefault="00F91B1E" w:rsidP="00F91B1E">
      <w:pPr>
        <w:ind w:left="-567"/>
        <w:jc w:val="center"/>
        <w:rPr>
          <w:rFonts w:ascii="Arial" w:hAnsi="Arial" w:cs="Arial"/>
          <w:b/>
          <w:bCs/>
          <w:i/>
          <w:iCs/>
          <w:u w:val="single"/>
        </w:rPr>
      </w:pPr>
      <w:r w:rsidRPr="00453F31">
        <w:rPr>
          <w:rFonts w:ascii="Arial" w:hAnsi="Arial" w:cs="Arial"/>
          <w:b/>
          <w:u w:val="single"/>
        </w:rPr>
        <w:t>1.FEATURES OF STATE GOVERNMENT SALARY PACKAGE (SGSP)- FOR SERVING PERMANENT PERSONNEL / EMPLOYEES OF</w:t>
      </w:r>
      <w:r w:rsidRPr="00453F31">
        <w:rPr>
          <w:rFonts w:ascii="Arial" w:hAnsi="Arial" w:cs="Arial"/>
        </w:rPr>
        <w:t xml:space="preserve"> </w:t>
      </w:r>
      <w:r w:rsidRPr="00453F31">
        <w:rPr>
          <w:rFonts w:ascii="Arial" w:hAnsi="Arial" w:cs="Arial"/>
          <w:b/>
          <w:bCs/>
          <w:u w:val="single"/>
        </w:rPr>
        <w:t>GOVERNMENT OF TAMIL NADU</w:t>
      </w:r>
    </w:p>
    <w:p w14:paraId="5B9A0C22" w14:textId="77777777" w:rsidR="00F91B1E" w:rsidRPr="00453F31" w:rsidRDefault="00F91B1E" w:rsidP="00F91B1E">
      <w:pPr>
        <w:ind w:left="-567"/>
        <w:jc w:val="both"/>
        <w:rPr>
          <w:rFonts w:ascii="Arial" w:hAnsi="Arial" w:cs="Arial"/>
        </w:rPr>
      </w:pPr>
      <w:r w:rsidRPr="00453F31">
        <w:rPr>
          <w:rFonts w:ascii="Arial" w:hAnsi="Arial" w:cs="Arial"/>
          <w:bCs/>
        </w:rPr>
        <w:t xml:space="preserve">1.1. Eligibility for SGSP: </w:t>
      </w:r>
      <w:r w:rsidRPr="00453F31">
        <w:rPr>
          <w:rFonts w:ascii="Arial" w:hAnsi="Arial" w:cs="Arial"/>
        </w:rPr>
        <w:t>Regular and Permanent employees of State Government and regular and permanent employees of Boards in States including Teachers/ Professors of aided School, Colleges, universities etc.</w:t>
      </w:r>
    </w:p>
    <w:tbl>
      <w:tblPr>
        <w:tblW w:w="106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34"/>
        <w:gridCol w:w="1668"/>
        <w:gridCol w:w="1417"/>
        <w:gridCol w:w="1583"/>
        <w:gridCol w:w="64"/>
        <w:gridCol w:w="54"/>
        <w:gridCol w:w="1560"/>
        <w:gridCol w:w="96"/>
        <w:gridCol w:w="1483"/>
      </w:tblGrid>
      <w:tr w:rsidR="00F91B1E" w:rsidRPr="00453F31" w14:paraId="489353EA" w14:textId="77777777" w:rsidTr="00A3243E">
        <w:trPr>
          <w:trHeight w:val="441"/>
        </w:trPr>
        <w:tc>
          <w:tcPr>
            <w:tcW w:w="2738" w:type="dxa"/>
            <w:gridSpan w:val="2"/>
            <w:tcBorders>
              <w:top w:val="single" w:sz="4" w:space="0" w:color="auto"/>
              <w:left w:val="single" w:sz="4" w:space="0" w:color="auto"/>
              <w:bottom w:val="single" w:sz="4" w:space="0" w:color="auto"/>
              <w:right w:val="single" w:sz="4" w:space="0" w:color="auto"/>
            </w:tcBorders>
            <w:hideMark/>
          </w:tcPr>
          <w:p w14:paraId="3FD06D96" w14:textId="77777777" w:rsidR="00F91B1E" w:rsidRPr="00453F31" w:rsidRDefault="00F91B1E" w:rsidP="00A3243E">
            <w:pPr>
              <w:rPr>
                <w:rFonts w:ascii="Arial" w:eastAsia="Calibri" w:hAnsi="Arial" w:cs="Arial"/>
                <w:b/>
                <w:bCs/>
              </w:rPr>
            </w:pPr>
            <w:r w:rsidRPr="00453F31">
              <w:rPr>
                <w:rFonts w:ascii="Arial" w:eastAsia="Calibri" w:hAnsi="Arial" w:cs="Arial"/>
              </w:rPr>
              <w:br w:type="page"/>
            </w:r>
            <w:r w:rsidRPr="00453F31">
              <w:rPr>
                <w:rFonts w:ascii="Arial" w:eastAsia="Calibri" w:hAnsi="Arial" w:cs="Arial"/>
              </w:rPr>
              <w:br w:type="page"/>
              <w:t xml:space="preserve">1.2. </w:t>
            </w:r>
            <w:r w:rsidRPr="00453F31">
              <w:rPr>
                <w:rFonts w:ascii="Arial" w:eastAsia="Calibri" w:hAnsi="Arial" w:cs="Arial"/>
                <w:b/>
                <w:bCs/>
              </w:rPr>
              <w:t>Variants with associated features</w:t>
            </w:r>
          </w:p>
        </w:tc>
        <w:tc>
          <w:tcPr>
            <w:tcW w:w="1668" w:type="dxa"/>
            <w:tcBorders>
              <w:top w:val="single" w:sz="4" w:space="0" w:color="auto"/>
              <w:left w:val="single" w:sz="4" w:space="0" w:color="auto"/>
              <w:bottom w:val="single" w:sz="4" w:space="0" w:color="auto"/>
              <w:right w:val="single" w:sz="4" w:space="0" w:color="auto"/>
            </w:tcBorders>
            <w:hideMark/>
          </w:tcPr>
          <w:p w14:paraId="3A08E949"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Silver</w:t>
            </w:r>
          </w:p>
        </w:tc>
        <w:tc>
          <w:tcPr>
            <w:tcW w:w="1414" w:type="dxa"/>
            <w:tcBorders>
              <w:top w:val="single" w:sz="4" w:space="0" w:color="auto"/>
              <w:left w:val="single" w:sz="4" w:space="0" w:color="auto"/>
              <w:bottom w:val="single" w:sz="4" w:space="0" w:color="auto"/>
              <w:right w:val="single" w:sz="4" w:space="0" w:color="auto"/>
            </w:tcBorders>
          </w:tcPr>
          <w:p w14:paraId="02EA6E8A"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Gold</w:t>
            </w:r>
          </w:p>
        </w:tc>
        <w:tc>
          <w:tcPr>
            <w:tcW w:w="1647" w:type="dxa"/>
            <w:gridSpan w:val="2"/>
            <w:tcBorders>
              <w:top w:val="single" w:sz="4" w:space="0" w:color="auto"/>
              <w:left w:val="single" w:sz="4" w:space="0" w:color="auto"/>
              <w:bottom w:val="single" w:sz="4" w:space="0" w:color="auto"/>
              <w:right w:val="single" w:sz="4" w:space="0" w:color="auto"/>
            </w:tcBorders>
            <w:hideMark/>
          </w:tcPr>
          <w:p w14:paraId="769F4F83"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Diamond</w:t>
            </w:r>
          </w:p>
        </w:tc>
        <w:tc>
          <w:tcPr>
            <w:tcW w:w="1710" w:type="dxa"/>
            <w:gridSpan w:val="3"/>
            <w:tcBorders>
              <w:top w:val="single" w:sz="4" w:space="0" w:color="auto"/>
              <w:left w:val="single" w:sz="4" w:space="0" w:color="auto"/>
              <w:bottom w:val="single" w:sz="4" w:space="0" w:color="auto"/>
              <w:right w:val="single" w:sz="4" w:space="0" w:color="auto"/>
            </w:tcBorders>
            <w:hideMark/>
          </w:tcPr>
          <w:p w14:paraId="58BA5B50"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Platinum</w:t>
            </w:r>
          </w:p>
        </w:tc>
        <w:tc>
          <w:tcPr>
            <w:tcW w:w="1483" w:type="dxa"/>
            <w:tcBorders>
              <w:top w:val="single" w:sz="4" w:space="0" w:color="auto"/>
              <w:left w:val="single" w:sz="4" w:space="0" w:color="auto"/>
              <w:bottom w:val="single" w:sz="4" w:space="0" w:color="auto"/>
              <w:right w:val="single" w:sz="4" w:space="0" w:color="auto"/>
            </w:tcBorders>
          </w:tcPr>
          <w:p w14:paraId="004DED40"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Rhodium</w:t>
            </w:r>
          </w:p>
        </w:tc>
      </w:tr>
      <w:tr w:rsidR="00F91B1E" w:rsidRPr="00453F31" w14:paraId="5F9468ED" w14:textId="77777777" w:rsidTr="00A3243E">
        <w:trPr>
          <w:trHeight w:val="287"/>
        </w:trPr>
        <w:tc>
          <w:tcPr>
            <w:tcW w:w="2738" w:type="dxa"/>
            <w:gridSpan w:val="2"/>
            <w:tcBorders>
              <w:top w:val="single" w:sz="4" w:space="0" w:color="auto"/>
              <w:left w:val="single" w:sz="4" w:space="0" w:color="auto"/>
              <w:bottom w:val="single" w:sz="4" w:space="0" w:color="auto"/>
              <w:right w:val="single" w:sz="4" w:space="0" w:color="auto"/>
            </w:tcBorders>
          </w:tcPr>
          <w:p w14:paraId="57072388" w14:textId="77777777" w:rsidR="00F91B1E" w:rsidRPr="00453F31" w:rsidRDefault="00F91B1E" w:rsidP="00A3243E">
            <w:pPr>
              <w:rPr>
                <w:rFonts w:ascii="Arial" w:eastAsia="Calibri" w:hAnsi="Arial" w:cs="Arial"/>
                <w:b/>
                <w:bCs/>
              </w:rPr>
            </w:pPr>
            <w:r w:rsidRPr="00453F31">
              <w:rPr>
                <w:rFonts w:ascii="Arial" w:eastAsia="Calibri" w:hAnsi="Arial" w:cs="Arial"/>
                <w:b/>
                <w:bCs/>
              </w:rPr>
              <w:t xml:space="preserve">Eligibility </w:t>
            </w:r>
            <w:r w:rsidRPr="00453F31">
              <w:rPr>
                <w:rFonts w:ascii="Arial" w:eastAsia="Calibri" w:hAnsi="Arial" w:cs="Arial"/>
              </w:rPr>
              <w:t>(net monthly salary credit in Rs.)</w:t>
            </w:r>
          </w:p>
        </w:tc>
        <w:tc>
          <w:tcPr>
            <w:tcW w:w="1668" w:type="dxa"/>
            <w:tcBorders>
              <w:top w:val="single" w:sz="4" w:space="0" w:color="auto"/>
              <w:left w:val="single" w:sz="4" w:space="0" w:color="auto"/>
              <w:bottom w:val="single" w:sz="4" w:space="0" w:color="auto"/>
              <w:right w:val="single" w:sz="4" w:space="0" w:color="auto"/>
            </w:tcBorders>
          </w:tcPr>
          <w:p w14:paraId="47EAF35E"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&gt;₹10,000/- to ₹25,000/-</w:t>
            </w:r>
          </w:p>
        </w:tc>
        <w:tc>
          <w:tcPr>
            <w:tcW w:w="1414" w:type="dxa"/>
            <w:tcBorders>
              <w:top w:val="single" w:sz="4" w:space="0" w:color="auto"/>
              <w:left w:val="single" w:sz="4" w:space="0" w:color="auto"/>
              <w:bottom w:val="single" w:sz="4" w:space="0" w:color="auto"/>
              <w:right w:val="single" w:sz="4" w:space="0" w:color="auto"/>
            </w:tcBorders>
          </w:tcPr>
          <w:p w14:paraId="1B874A9F"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&gt;₹25,000/- to ₹50,000/-</w:t>
            </w:r>
          </w:p>
        </w:tc>
        <w:tc>
          <w:tcPr>
            <w:tcW w:w="1647" w:type="dxa"/>
            <w:gridSpan w:val="2"/>
            <w:tcBorders>
              <w:top w:val="single" w:sz="4" w:space="0" w:color="auto"/>
              <w:left w:val="single" w:sz="4" w:space="0" w:color="auto"/>
              <w:bottom w:val="single" w:sz="4" w:space="0" w:color="auto"/>
              <w:right w:val="single" w:sz="4" w:space="0" w:color="auto"/>
            </w:tcBorders>
          </w:tcPr>
          <w:p w14:paraId="304677B3" w14:textId="77777777" w:rsidR="00F91B1E" w:rsidRPr="00453F31" w:rsidRDefault="00F91B1E" w:rsidP="00A3243E">
            <w:pPr>
              <w:jc w:val="center"/>
              <w:rPr>
                <w:rFonts w:ascii="Arial" w:eastAsia="Calibri" w:hAnsi="Arial" w:cs="Arial"/>
                <w:b/>
                <w:iCs/>
              </w:rPr>
            </w:pPr>
            <w:r w:rsidRPr="00453F31">
              <w:rPr>
                <w:rFonts w:ascii="Arial" w:hAnsi="Arial" w:cs="Arial"/>
              </w:rPr>
              <w:t>&gt;₹50,000/- to ₹1 lakh</w:t>
            </w:r>
          </w:p>
        </w:tc>
        <w:tc>
          <w:tcPr>
            <w:tcW w:w="1710" w:type="dxa"/>
            <w:gridSpan w:val="3"/>
            <w:tcBorders>
              <w:top w:val="single" w:sz="4" w:space="0" w:color="auto"/>
              <w:left w:val="single" w:sz="4" w:space="0" w:color="auto"/>
              <w:bottom w:val="single" w:sz="4" w:space="0" w:color="auto"/>
              <w:right w:val="single" w:sz="4" w:space="0" w:color="auto"/>
            </w:tcBorders>
          </w:tcPr>
          <w:p w14:paraId="1A6AE1E0"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&gt;₹1 lakh to ₹2 lakh</w:t>
            </w:r>
          </w:p>
        </w:tc>
        <w:tc>
          <w:tcPr>
            <w:tcW w:w="1483" w:type="dxa"/>
            <w:tcBorders>
              <w:top w:val="single" w:sz="4" w:space="0" w:color="auto"/>
              <w:left w:val="single" w:sz="4" w:space="0" w:color="auto"/>
              <w:bottom w:val="single" w:sz="4" w:space="0" w:color="auto"/>
              <w:right w:val="single" w:sz="4" w:space="0" w:color="auto"/>
            </w:tcBorders>
          </w:tcPr>
          <w:p w14:paraId="11680BAB" w14:textId="77777777" w:rsidR="00F91B1E" w:rsidRPr="00453F31" w:rsidRDefault="00F91B1E" w:rsidP="00A3243E">
            <w:pPr>
              <w:pStyle w:val="NoSpacing"/>
              <w:jc w:val="center"/>
              <w:rPr>
                <w:rFonts w:ascii="Arial" w:eastAsia="Calibri" w:hAnsi="Arial" w:cs="Arial"/>
                <w:iCs/>
              </w:rPr>
            </w:pPr>
            <w:r w:rsidRPr="00453F31">
              <w:rPr>
                <w:rFonts w:ascii="Arial" w:hAnsi="Arial" w:cs="Arial"/>
              </w:rPr>
              <w:t>&gt;₹2 lakh</w:t>
            </w:r>
          </w:p>
        </w:tc>
      </w:tr>
      <w:tr w:rsidR="00F91B1E" w:rsidRPr="00453F31" w14:paraId="2B8ABD04" w14:textId="77777777" w:rsidTr="00A3243E">
        <w:trPr>
          <w:trHeight w:val="59"/>
        </w:trPr>
        <w:tc>
          <w:tcPr>
            <w:tcW w:w="2738" w:type="dxa"/>
            <w:gridSpan w:val="2"/>
            <w:tcBorders>
              <w:top w:val="single" w:sz="4" w:space="0" w:color="auto"/>
              <w:left w:val="single" w:sz="4" w:space="0" w:color="auto"/>
              <w:bottom w:val="single" w:sz="4" w:space="0" w:color="auto"/>
              <w:right w:val="single" w:sz="4" w:space="0" w:color="auto"/>
            </w:tcBorders>
            <w:hideMark/>
          </w:tcPr>
          <w:p w14:paraId="5B8A22B7"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 xml:space="preserve">Min. Balance </w:t>
            </w:r>
          </w:p>
        </w:tc>
        <w:tc>
          <w:tcPr>
            <w:tcW w:w="7922" w:type="dxa"/>
            <w:gridSpan w:val="8"/>
            <w:tcBorders>
              <w:top w:val="single" w:sz="4" w:space="0" w:color="auto"/>
              <w:left w:val="single" w:sz="4" w:space="0" w:color="auto"/>
              <w:bottom w:val="single" w:sz="4" w:space="0" w:color="auto"/>
              <w:right w:val="single" w:sz="4" w:space="0" w:color="auto"/>
            </w:tcBorders>
            <w:vAlign w:val="center"/>
          </w:tcPr>
          <w:p w14:paraId="5D629F6B" w14:textId="77777777" w:rsidR="00F91B1E" w:rsidRPr="00453F31" w:rsidRDefault="00F91B1E" w:rsidP="00A3243E">
            <w:pPr>
              <w:pStyle w:val="NoSpacing"/>
              <w:jc w:val="center"/>
              <w:rPr>
                <w:rFonts w:ascii="Arial" w:eastAsia="Calibri" w:hAnsi="Arial" w:cs="Arial"/>
                <w:i/>
                <w:sz w:val="24"/>
                <w:szCs w:val="24"/>
              </w:rPr>
            </w:pPr>
            <w:r w:rsidRPr="00453F31">
              <w:rPr>
                <w:rFonts w:ascii="Arial" w:hAnsi="Arial" w:cs="Arial"/>
                <w:bCs/>
                <w:sz w:val="24"/>
                <w:szCs w:val="24"/>
              </w:rPr>
              <w:t>Nil (No minimum balance required to be maintained)</w:t>
            </w:r>
          </w:p>
        </w:tc>
      </w:tr>
      <w:tr w:rsidR="00F91B1E" w:rsidRPr="00453F31" w14:paraId="20101738" w14:textId="77777777" w:rsidTr="00A3243E">
        <w:trPr>
          <w:trHeight w:val="59"/>
        </w:trPr>
        <w:tc>
          <w:tcPr>
            <w:tcW w:w="2738" w:type="dxa"/>
            <w:gridSpan w:val="2"/>
            <w:tcBorders>
              <w:top w:val="single" w:sz="4" w:space="0" w:color="auto"/>
              <w:left w:val="single" w:sz="4" w:space="0" w:color="auto"/>
              <w:bottom w:val="single" w:sz="4" w:space="0" w:color="auto"/>
              <w:right w:val="single" w:sz="4" w:space="0" w:color="auto"/>
            </w:tcBorders>
          </w:tcPr>
          <w:p w14:paraId="04820093"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iCs/>
                <w:sz w:val="24"/>
                <w:szCs w:val="24"/>
              </w:rPr>
              <w:t>Passbook</w:t>
            </w:r>
          </w:p>
        </w:tc>
        <w:tc>
          <w:tcPr>
            <w:tcW w:w="7922" w:type="dxa"/>
            <w:gridSpan w:val="8"/>
            <w:tcBorders>
              <w:top w:val="single" w:sz="4" w:space="0" w:color="auto"/>
              <w:left w:val="single" w:sz="4" w:space="0" w:color="auto"/>
              <w:bottom w:val="single" w:sz="4" w:space="0" w:color="auto"/>
              <w:right w:val="single" w:sz="4" w:space="0" w:color="auto"/>
            </w:tcBorders>
          </w:tcPr>
          <w:p w14:paraId="0A5CAAC6" w14:textId="77777777" w:rsidR="00F91B1E" w:rsidRPr="00453F31" w:rsidRDefault="00F91B1E" w:rsidP="00A3243E">
            <w:pPr>
              <w:pStyle w:val="NoSpacing"/>
              <w:jc w:val="center"/>
              <w:rPr>
                <w:rFonts w:ascii="Arial" w:eastAsia="Calibri" w:hAnsi="Arial" w:cs="Arial"/>
                <w:i/>
                <w:sz w:val="24"/>
                <w:szCs w:val="24"/>
              </w:rPr>
            </w:pPr>
            <w:r w:rsidRPr="00453F31">
              <w:rPr>
                <w:rFonts w:ascii="Arial" w:hAnsi="Arial" w:cs="Arial"/>
                <w:bCs/>
                <w:sz w:val="24"/>
                <w:szCs w:val="24"/>
              </w:rPr>
              <w:t>Available for all accounts, Free updating at Non-Home branches</w:t>
            </w:r>
          </w:p>
        </w:tc>
      </w:tr>
      <w:tr w:rsidR="00F91B1E" w:rsidRPr="00453F31" w14:paraId="38C4870E" w14:textId="77777777" w:rsidTr="00A3243E">
        <w:trPr>
          <w:trHeight w:val="59"/>
        </w:trPr>
        <w:tc>
          <w:tcPr>
            <w:tcW w:w="2738" w:type="dxa"/>
            <w:gridSpan w:val="2"/>
            <w:tcBorders>
              <w:top w:val="single" w:sz="4" w:space="0" w:color="auto"/>
              <w:left w:val="single" w:sz="4" w:space="0" w:color="auto"/>
              <w:bottom w:val="single" w:sz="4" w:space="0" w:color="auto"/>
              <w:right w:val="single" w:sz="4" w:space="0" w:color="auto"/>
            </w:tcBorders>
          </w:tcPr>
          <w:p w14:paraId="2457760B"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Internet Banking</w:t>
            </w:r>
          </w:p>
        </w:tc>
        <w:tc>
          <w:tcPr>
            <w:tcW w:w="7922" w:type="dxa"/>
            <w:gridSpan w:val="8"/>
            <w:tcBorders>
              <w:top w:val="single" w:sz="4" w:space="0" w:color="auto"/>
              <w:left w:val="single" w:sz="4" w:space="0" w:color="auto"/>
              <w:bottom w:val="single" w:sz="4" w:space="0" w:color="auto"/>
              <w:right w:val="single" w:sz="4" w:space="0" w:color="auto"/>
            </w:tcBorders>
            <w:vAlign w:val="center"/>
          </w:tcPr>
          <w:p w14:paraId="4A584E66" w14:textId="77777777" w:rsidR="00F91B1E" w:rsidRPr="00453F31" w:rsidRDefault="00F91B1E" w:rsidP="00A3243E">
            <w:pPr>
              <w:pStyle w:val="NoSpacing"/>
              <w:ind w:left="720"/>
              <w:jc w:val="center"/>
              <w:rPr>
                <w:rFonts w:ascii="Arial" w:eastAsia="Calibri" w:hAnsi="Arial" w:cs="Arial"/>
                <w:iCs/>
                <w:sz w:val="24"/>
                <w:szCs w:val="24"/>
              </w:rPr>
            </w:pPr>
            <w:r w:rsidRPr="00453F31">
              <w:rPr>
                <w:rFonts w:ascii="Arial" w:hAnsi="Arial" w:cs="Arial"/>
                <w:bCs/>
                <w:sz w:val="24"/>
                <w:szCs w:val="24"/>
              </w:rPr>
              <w:t>Free facility from SBI, Charges applicable to third party sites</w:t>
            </w:r>
          </w:p>
        </w:tc>
      </w:tr>
      <w:tr w:rsidR="00F91B1E" w:rsidRPr="00453F31" w14:paraId="713E2564" w14:textId="77777777" w:rsidTr="00A3243E">
        <w:trPr>
          <w:trHeight w:val="59"/>
        </w:trPr>
        <w:tc>
          <w:tcPr>
            <w:tcW w:w="2738" w:type="dxa"/>
            <w:gridSpan w:val="2"/>
            <w:tcBorders>
              <w:top w:val="single" w:sz="4" w:space="0" w:color="auto"/>
              <w:left w:val="single" w:sz="4" w:space="0" w:color="auto"/>
              <w:bottom w:val="single" w:sz="4" w:space="0" w:color="auto"/>
              <w:right w:val="single" w:sz="4" w:space="0" w:color="auto"/>
            </w:tcBorders>
          </w:tcPr>
          <w:p w14:paraId="667E026B"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Auto Sweep Facility</w:t>
            </w:r>
          </w:p>
          <w:p w14:paraId="0B2FB703"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(Available only on Customers request)</w:t>
            </w:r>
          </w:p>
        </w:tc>
        <w:tc>
          <w:tcPr>
            <w:tcW w:w="7922" w:type="dxa"/>
            <w:gridSpan w:val="8"/>
            <w:tcBorders>
              <w:top w:val="single" w:sz="4" w:space="0" w:color="auto"/>
              <w:left w:val="single" w:sz="4" w:space="0" w:color="auto"/>
              <w:bottom w:val="single" w:sz="4" w:space="0" w:color="auto"/>
              <w:right w:val="single" w:sz="4" w:space="0" w:color="auto"/>
            </w:tcBorders>
          </w:tcPr>
          <w:p w14:paraId="408CB665"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Available – Threshold Amount: Rs.35000/-, TDRs/STDRs to be created for a minimum amount of Rs.10000/- (and in multiples of Rs.1,000/-) in any one instance</w:t>
            </w:r>
          </w:p>
        </w:tc>
      </w:tr>
      <w:tr w:rsidR="00F91B1E" w:rsidRPr="00453F31" w14:paraId="53451B71" w14:textId="77777777" w:rsidTr="00A3243E">
        <w:trPr>
          <w:trHeight w:val="55"/>
        </w:trPr>
        <w:tc>
          <w:tcPr>
            <w:tcW w:w="2738" w:type="dxa"/>
            <w:gridSpan w:val="2"/>
            <w:tcBorders>
              <w:top w:val="single" w:sz="4" w:space="0" w:color="auto"/>
              <w:left w:val="single" w:sz="4" w:space="0" w:color="auto"/>
              <w:right w:val="single" w:sz="4" w:space="0" w:color="auto"/>
            </w:tcBorders>
          </w:tcPr>
          <w:p w14:paraId="782D7253"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ATM cum Debit Card</w:t>
            </w:r>
          </w:p>
        </w:tc>
        <w:tc>
          <w:tcPr>
            <w:tcW w:w="1668" w:type="dxa"/>
            <w:tcBorders>
              <w:top w:val="single" w:sz="4" w:space="0" w:color="auto"/>
              <w:left w:val="single" w:sz="4" w:space="0" w:color="auto"/>
              <w:bottom w:val="single" w:sz="4" w:space="0" w:color="auto"/>
              <w:right w:val="single" w:sz="4" w:space="0" w:color="auto"/>
            </w:tcBorders>
          </w:tcPr>
          <w:p w14:paraId="0287C3E1"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Domestic Classic Debit Card</w:t>
            </w:r>
          </w:p>
        </w:tc>
        <w:tc>
          <w:tcPr>
            <w:tcW w:w="3000" w:type="dxa"/>
            <w:gridSpan w:val="2"/>
            <w:tcBorders>
              <w:top w:val="single" w:sz="4" w:space="0" w:color="auto"/>
              <w:left w:val="single" w:sz="4" w:space="0" w:color="auto"/>
              <w:bottom w:val="single" w:sz="4" w:space="0" w:color="auto"/>
              <w:right w:val="single" w:sz="4" w:space="0" w:color="auto"/>
            </w:tcBorders>
          </w:tcPr>
          <w:p w14:paraId="2D724D9B"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International Gold Debit Card</w:t>
            </w:r>
          </w:p>
        </w:tc>
        <w:tc>
          <w:tcPr>
            <w:tcW w:w="3254" w:type="dxa"/>
            <w:gridSpan w:val="5"/>
            <w:tcBorders>
              <w:top w:val="single" w:sz="4" w:space="0" w:color="auto"/>
              <w:left w:val="single" w:sz="4" w:space="0" w:color="auto"/>
              <w:bottom w:val="single" w:sz="4" w:space="0" w:color="auto"/>
              <w:right w:val="single" w:sz="4" w:space="0" w:color="auto"/>
            </w:tcBorders>
          </w:tcPr>
          <w:p w14:paraId="1517F600"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International Platinum Debit Card</w:t>
            </w:r>
          </w:p>
        </w:tc>
      </w:tr>
      <w:tr w:rsidR="00F91B1E" w:rsidRPr="00453F31" w14:paraId="338F8D74" w14:textId="77777777" w:rsidTr="00A3243E">
        <w:trPr>
          <w:trHeight w:val="55"/>
        </w:trPr>
        <w:tc>
          <w:tcPr>
            <w:tcW w:w="2738" w:type="dxa"/>
            <w:gridSpan w:val="2"/>
            <w:tcBorders>
              <w:top w:val="single" w:sz="4" w:space="0" w:color="auto"/>
              <w:left w:val="single" w:sz="4" w:space="0" w:color="auto"/>
              <w:right w:val="single" w:sz="4" w:space="0" w:color="auto"/>
            </w:tcBorders>
          </w:tcPr>
          <w:p w14:paraId="1D3A95CB"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 xml:space="preserve">New Age </w:t>
            </w:r>
            <w:proofErr w:type="spellStart"/>
            <w:r w:rsidRPr="00453F31">
              <w:rPr>
                <w:rFonts w:ascii="Arial" w:eastAsia="Calibri" w:hAnsi="Arial" w:cs="Arial"/>
                <w:bCs/>
                <w:iCs/>
                <w:sz w:val="24"/>
                <w:szCs w:val="24"/>
              </w:rPr>
              <w:t>Rupay</w:t>
            </w:r>
            <w:proofErr w:type="spellEnd"/>
            <w:r w:rsidRPr="00453F31">
              <w:rPr>
                <w:rFonts w:ascii="Arial" w:eastAsia="Calibri" w:hAnsi="Arial" w:cs="Arial"/>
                <w:bCs/>
                <w:iCs/>
                <w:sz w:val="24"/>
                <w:szCs w:val="24"/>
              </w:rPr>
              <w:t xml:space="preserve"> Card</w:t>
            </w:r>
          </w:p>
        </w:tc>
        <w:tc>
          <w:tcPr>
            <w:tcW w:w="4668" w:type="dxa"/>
            <w:gridSpan w:val="3"/>
            <w:tcBorders>
              <w:top w:val="single" w:sz="4" w:space="0" w:color="auto"/>
              <w:left w:val="single" w:sz="4" w:space="0" w:color="auto"/>
              <w:bottom w:val="single" w:sz="4" w:space="0" w:color="auto"/>
              <w:right w:val="single" w:sz="4" w:space="0" w:color="auto"/>
            </w:tcBorders>
          </w:tcPr>
          <w:p w14:paraId="6B915B1E" w14:textId="77777777" w:rsidR="00F91B1E" w:rsidRPr="00453F31" w:rsidRDefault="00F91B1E" w:rsidP="00A3243E">
            <w:pPr>
              <w:pStyle w:val="NoSpacing"/>
              <w:jc w:val="center"/>
              <w:rPr>
                <w:rFonts w:ascii="Arial" w:eastAsia="Calibri" w:hAnsi="Arial" w:cs="Arial"/>
                <w:iCs/>
                <w:sz w:val="24"/>
                <w:szCs w:val="24"/>
              </w:rPr>
            </w:pPr>
            <w:proofErr w:type="spellStart"/>
            <w:r w:rsidRPr="00453F31">
              <w:rPr>
                <w:rFonts w:ascii="Arial" w:eastAsia="Calibri" w:hAnsi="Arial" w:cs="Arial"/>
                <w:iCs/>
                <w:sz w:val="24"/>
                <w:szCs w:val="24"/>
              </w:rPr>
              <w:t>Rupay</w:t>
            </w:r>
            <w:proofErr w:type="spellEnd"/>
            <w:r w:rsidRPr="00453F31">
              <w:rPr>
                <w:rFonts w:ascii="Arial" w:eastAsia="Calibri" w:hAnsi="Arial" w:cs="Arial"/>
                <w:iCs/>
                <w:sz w:val="24"/>
                <w:szCs w:val="24"/>
              </w:rPr>
              <w:t xml:space="preserve"> Platinum Debit Card</w:t>
            </w:r>
          </w:p>
        </w:tc>
        <w:tc>
          <w:tcPr>
            <w:tcW w:w="3254" w:type="dxa"/>
            <w:gridSpan w:val="5"/>
            <w:tcBorders>
              <w:top w:val="single" w:sz="4" w:space="0" w:color="auto"/>
              <w:left w:val="single" w:sz="4" w:space="0" w:color="auto"/>
              <w:bottom w:val="single" w:sz="4" w:space="0" w:color="auto"/>
              <w:right w:val="single" w:sz="4" w:space="0" w:color="auto"/>
            </w:tcBorders>
          </w:tcPr>
          <w:p w14:paraId="42618DF3" w14:textId="77777777" w:rsidR="00F91B1E" w:rsidRPr="00453F31" w:rsidRDefault="00F91B1E" w:rsidP="00A3243E">
            <w:pPr>
              <w:pStyle w:val="NoSpacing"/>
              <w:jc w:val="center"/>
              <w:rPr>
                <w:rFonts w:ascii="Arial" w:eastAsia="Calibri" w:hAnsi="Arial" w:cs="Arial"/>
                <w:iCs/>
                <w:sz w:val="24"/>
                <w:szCs w:val="24"/>
              </w:rPr>
            </w:pPr>
            <w:proofErr w:type="spellStart"/>
            <w:r w:rsidRPr="00453F31">
              <w:rPr>
                <w:rFonts w:ascii="Arial" w:eastAsia="Calibri" w:hAnsi="Arial" w:cs="Arial"/>
                <w:iCs/>
                <w:sz w:val="24"/>
                <w:szCs w:val="24"/>
              </w:rPr>
              <w:t>Rupay</w:t>
            </w:r>
            <w:proofErr w:type="spellEnd"/>
            <w:r w:rsidRPr="00453F31">
              <w:rPr>
                <w:rFonts w:ascii="Arial" w:eastAsia="Calibri" w:hAnsi="Arial" w:cs="Arial"/>
                <w:iCs/>
                <w:sz w:val="24"/>
                <w:szCs w:val="24"/>
              </w:rPr>
              <w:t xml:space="preserve"> Select Debit Card</w:t>
            </w:r>
          </w:p>
        </w:tc>
      </w:tr>
      <w:tr w:rsidR="00F91B1E" w:rsidRPr="00453F31" w14:paraId="48706964" w14:textId="77777777" w:rsidTr="00A3243E">
        <w:trPr>
          <w:trHeight w:val="55"/>
        </w:trPr>
        <w:tc>
          <w:tcPr>
            <w:tcW w:w="2738" w:type="dxa"/>
            <w:gridSpan w:val="2"/>
            <w:tcBorders>
              <w:top w:val="single" w:sz="4" w:space="0" w:color="auto"/>
              <w:left w:val="single" w:sz="4" w:space="0" w:color="auto"/>
              <w:right w:val="single" w:sz="4" w:space="0" w:color="auto"/>
            </w:tcBorders>
          </w:tcPr>
          <w:p w14:paraId="25325D61"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Transactions at ATMs</w:t>
            </w:r>
          </w:p>
        </w:tc>
        <w:tc>
          <w:tcPr>
            <w:tcW w:w="7922" w:type="dxa"/>
            <w:gridSpan w:val="8"/>
            <w:tcBorders>
              <w:top w:val="single" w:sz="4" w:space="0" w:color="auto"/>
              <w:left w:val="single" w:sz="4" w:space="0" w:color="auto"/>
              <w:bottom w:val="single" w:sz="4" w:space="0" w:color="auto"/>
              <w:right w:val="single" w:sz="4" w:space="0" w:color="auto"/>
            </w:tcBorders>
          </w:tcPr>
          <w:p w14:paraId="18351B99" w14:textId="77777777" w:rsidR="00F91B1E" w:rsidRPr="00453F31" w:rsidRDefault="00F91B1E" w:rsidP="00A3243E">
            <w:pPr>
              <w:pStyle w:val="NoSpacing"/>
              <w:jc w:val="both"/>
              <w:rPr>
                <w:rFonts w:ascii="Arial" w:eastAsia="Calibri" w:hAnsi="Arial" w:cs="Arial"/>
                <w:iCs/>
                <w:sz w:val="24"/>
                <w:szCs w:val="24"/>
              </w:rPr>
            </w:pPr>
            <w:r w:rsidRPr="00453F31">
              <w:rPr>
                <w:rFonts w:ascii="Arial" w:hAnsi="Arial" w:cs="Arial"/>
                <w:bCs/>
                <w:sz w:val="24"/>
                <w:szCs w:val="24"/>
              </w:rPr>
              <w:t>Free ATM withdrawals – unlimited at all SBI ATMs and 10 free transactions per month at non-SBI ATMs (including both financial and non-financial transactions)</w:t>
            </w:r>
          </w:p>
        </w:tc>
      </w:tr>
      <w:tr w:rsidR="00F91B1E" w:rsidRPr="00453F31" w14:paraId="24AAF41B" w14:textId="77777777" w:rsidTr="00A3243E">
        <w:trPr>
          <w:trHeight w:val="313"/>
        </w:trPr>
        <w:tc>
          <w:tcPr>
            <w:tcW w:w="2738" w:type="dxa"/>
            <w:gridSpan w:val="2"/>
            <w:tcBorders>
              <w:top w:val="single" w:sz="4" w:space="0" w:color="auto"/>
              <w:left w:val="single" w:sz="4" w:space="0" w:color="auto"/>
              <w:bottom w:val="single" w:sz="4" w:space="0" w:color="auto"/>
              <w:right w:val="single" w:sz="4" w:space="0" w:color="auto"/>
            </w:tcBorders>
            <w:hideMark/>
          </w:tcPr>
          <w:p w14:paraId="1B87ECA2"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 xml:space="preserve">Multi City Cheques </w:t>
            </w:r>
          </w:p>
        </w:tc>
        <w:tc>
          <w:tcPr>
            <w:tcW w:w="7922" w:type="dxa"/>
            <w:gridSpan w:val="8"/>
            <w:tcBorders>
              <w:top w:val="single" w:sz="4" w:space="0" w:color="auto"/>
              <w:left w:val="single" w:sz="4" w:space="0" w:color="auto"/>
              <w:bottom w:val="single" w:sz="4" w:space="0" w:color="auto"/>
              <w:right w:val="single" w:sz="4" w:space="0" w:color="auto"/>
            </w:tcBorders>
          </w:tcPr>
          <w:p w14:paraId="488DCB62" w14:textId="77777777" w:rsidR="00F91B1E" w:rsidRPr="00453F31" w:rsidRDefault="00F91B1E" w:rsidP="00A3243E">
            <w:pPr>
              <w:pStyle w:val="NoSpacing"/>
              <w:jc w:val="center"/>
              <w:rPr>
                <w:rFonts w:ascii="Arial" w:hAnsi="Arial" w:cs="Arial"/>
                <w:sz w:val="24"/>
                <w:szCs w:val="24"/>
              </w:rPr>
            </w:pPr>
            <w:r w:rsidRPr="00453F31">
              <w:rPr>
                <w:rFonts w:ascii="Arial" w:hAnsi="Arial" w:cs="Arial"/>
                <w:sz w:val="24"/>
                <w:szCs w:val="24"/>
              </w:rPr>
              <w:t>25 cheque leaves free per month (except for bulk requirement)</w:t>
            </w:r>
          </w:p>
          <w:p w14:paraId="02C041DA" w14:textId="77777777" w:rsidR="00F91B1E" w:rsidRPr="00453F31" w:rsidRDefault="00F91B1E" w:rsidP="00A3243E">
            <w:pPr>
              <w:pStyle w:val="NoSpacing"/>
              <w:jc w:val="center"/>
              <w:rPr>
                <w:rFonts w:ascii="Arial" w:eastAsia="Calibri" w:hAnsi="Arial" w:cs="Arial"/>
                <w:iCs/>
                <w:sz w:val="24"/>
                <w:szCs w:val="24"/>
              </w:rPr>
            </w:pPr>
          </w:p>
        </w:tc>
      </w:tr>
      <w:tr w:rsidR="00F91B1E" w:rsidRPr="00453F31" w14:paraId="7F92CBAD" w14:textId="77777777" w:rsidTr="00A3243E">
        <w:trPr>
          <w:trHeight w:val="152"/>
        </w:trPr>
        <w:tc>
          <w:tcPr>
            <w:tcW w:w="2738" w:type="dxa"/>
            <w:gridSpan w:val="2"/>
            <w:tcBorders>
              <w:top w:val="single" w:sz="4" w:space="0" w:color="auto"/>
              <w:left w:val="single" w:sz="4" w:space="0" w:color="auto"/>
              <w:bottom w:val="single" w:sz="4" w:space="0" w:color="auto"/>
              <w:right w:val="single" w:sz="4" w:space="0" w:color="auto"/>
            </w:tcBorders>
            <w:hideMark/>
          </w:tcPr>
          <w:p w14:paraId="4D637438"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Concession in locker charges</w:t>
            </w:r>
          </w:p>
          <w:p w14:paraId="7B6E72F7" w14:textId="77777777" w:rsidR="00F91B1E" w:rsidRPr="00453F31" w:rsidRDefault="00F91B1E" w:rsidP="00A3243E">
            <w:pPr>
              <w:pStyle w:val="NoSpacing"/>
              <w:jc w:val="both"/>
              <w:rPr>
                <w:rFonts w:ascii="Arial" w:eastAsia="Calibri" w:hAnsi="Arial" w:cs="Arial"/>
                <w:bCs/>
                <w:iCs/>
                <w:sz w:val="24"/>
                <w:szCs w:val="24"/>
              </w:rPr>
            </w:pPr>
          </w:p>
        </w:tc>
        <w:tc>
          <w:tcPr>
            <w:tcW w:w="3082" w:type="dxa"/>
            <w:gridSpan w:val="2"/>
            <w:tcBorders>
              <w:top w:val="single" w:sz="4" w:space="0" w:color="auto"/>
              <w:left w:val="single" w:sz="4" w:space="0" w:color="auto"/>
              <w:bottom w:val="single" w:sz="4" w:space="0" w:color="auto"/>
              <w:right w:val="single" w:sz="4" w:space="0" w:color="auto"/>
            </w:tcBorders>
            <w:vAlign w:val="center"/>
          </w:tcPr>
          <w:p w14:paraId="573D59C7"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eastAsia="Calibri" w:hAnsi="Arial" w:cs="Arial"/>
                <w:bCs/>
                <w:iCs/>
                <w:sz w:val="24"/>
                <w:szCs w:val="24"/>
              </w:rPr>
              <w:t>Nil</w:t>
            </w:r>
          </w:p>
        </w:tc>
        <w:tc>
          <w:tcPr>
            <w:tcW w:w="4840" w:type="dxa"/>
            <w:gridSpan w:val="6"/>
            <w:tcBorders>
              <w:top w:val="single" w:sz="4" w:space="0" w:color="auto"/>
              <w:left w:val="single" w:sz="4" w:space="0" w:color="auto"/>
              <w:bottom w:val="single" w:sz="4" w:space="0" w:color="auto"/>
              <w:right w:val="single" w:sz="4" w:space="0" w:color="auto"/>
            </w:tcBorders>
            <w:vAlign w:val="center"/>
          </w:tcPr>
          <w:p w14:paraId="67A9FE6F"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eastAsia="Calibri" w:hAnsi="Arial" w:cs="Arial"/>
                <w:bCs/>
                <w:iCs/>
                <w:sz w:val="24"/>
                <w:szCs w:val="24"/>
              </w:rPr>
              <w:t>50% of applicable rate</w:t>
            </w:r>
          </w:p>
        </w:tc>
      </w:tr>
      <w:tr w:rsidR="00F91B1E" w:rsidRPr="00453F31" w14:paraId="5594FABD"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3D9CA681"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 xml:space="preserve">Setting up of Standing Instructions within SBI </w:t>
            </w:r>
          </w:p>
          <w:p w14:paraId="3DAC8A0A" w14:textId="77777777" w:rsidR="00F91B1E" w:rsidRPr="00453F31" w:rsidRDefault="00F91B1E" w:rsidP="00A3243E">
            <w:pPr>
              <w:pStyle w:val="NoSpacing"/>
              <w:rPr>
                <w:rFonts w:ascii="Arial" w:eastAsia="Calibri" w:hAnsi="Arial" w:cs="Arial"/>
                <w:bCs/>
                <w:iCs/>
                <w:sz w:val="24"/>
                <w:szCs w:val="24"/>
              </w:rPr>
            </w:pPr>
          </w:p>
        </w:tc>
        <w:tc>
          <w:tcPr>
            <w:tcW w:w="7922" w:type="dxa"/>
            <w:gridSpan w:val="8"/>
            <w:tcBorders>
              <w:top w:val="single" w:sz="4" w:space="0" w:color="auto"/>
              <w:left w:val="single" w:sz="4" w:space="0" w:color="auto"/>
              <w:bottom w:val="single" w:sz="4" w:space="0" w:color="auto"/>
              <w:right w:val="single" w:sz="4" w:space="0" w:color="auto"/>
            </w:tcBorders>
            <w:vAlign w:val="center"/>
            <w:hideMark/>
          </w:tcPr>
          <w:p w14:paraId="1F38800B"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hAnsi="Arial" w:cs="Arial"/>
                <w:sz w:val="24"/>
                <w:szCs w:val="24"/>
              </w:rPr>
              <w:t>Free (within SBI)</w:t>
            </w:r>
          </w:p>
        </w:tc>
      </w:tr>
      <w:tr w:rsidR="00F91B1E" w:rsidRPr="00453F31" w14:paraId="02783090"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hideMark/>
          </w:tcPr>
          <w:p w14:paraId="4F640F35"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RTGS/NEFT Charges</w:t>
            </w:r>
          </w:p>
          <w:p w14:paraId="4CA84955" w14:textId="77777777" w:rsidR="00F91B1E" w:rsidRPr="00453F31" w:rsidRDefault="00F91B1E" w:rsidP="00A3243E">
            <w:pPr>
              <w:pStyle w:val="NoSpacing"/>
              <w:jc w:val="both"/>
              <w:rPr>
                <w:rFonts w:ascii="Arial" w:eastAsia="Calibri" w:hAnsi="Arial" w:cs="Arial"/>
                <w:bCs/>
                <w:iCs/>
                <w:sz w:val="24"/>
                <w:szCs w:val="24"/>
              </w:rPr>
            </w:pPr>
          </w:p>
          <w:p w14:paraId="6F121CFD" w14:textId="77777777" w:rsidR="00F91B1E" w:rsidRPr="00453F31" w:rsidRDefault="00F91B1E" w:rsidP="00A3243E">
            <w:pPr>
              <w:pStyle w:val="NoSpacing"/>
              <w:jc w:val="both"/>
              <w:rPr>
                <w:rFonts w:ascii="Arial" w:eastAsia="Calibri" w:hAnsi="Arial" w:cs="Arial"/>
                <w:bCs/>
                <w:iCs/>
                <w:sz w:val="24"/>
                <w:szCs w:val="24"/>
              </w:rPr>
            </w:pPr>
          </w:p>
        </w:tc>
        <w:tc>
          <w:tcPr>
            <w:tcW w:w="7922" w:type="dxa"/>
            <w:gridSpan w:val="8"/>
            <w:tcBorders>
              <w:top w:val="single" w:sz="4" w:space="0" w:color="auto"/>
              <w:left w:val="single" w:sz="4" w:space="0" w:color="auto"/>
              <w:bottom w:val="single" w:sz="4" w:space="0" w:color="auto"/>
              <w:right w:val="single" w:sz="4" w:space="0" w:color="auto"/>
            </w:tcBorders>
            <w:vAlign w:val="center"/>
          </w:tcPr>
          <w:p w14:paraId="24EF1152"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Waived (in online mode)</w:t>
            </w:r>
          </w:p>
        </w:tc>
      </w:tr>
      <w:tr w:rsidR="00F91B1E" w:rsidRPr="00453F31" w14:paraId="78294F81"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hideMark/>
          </w:tcPr>
          <w:p w14:paraId="57EBB983"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Charges for issue of Demand Draft</w:t>
            </w:r>
          </w:p>
          <w:p w14:paraId="0938AF16" w14:textId="77777777" w:rsidR="00F91B1E" w:rsidRPr="00453F31" w:rsidRDefault="00F91B1E" w:rsidP="00A3243E">
            <w:pPr>
              <w:pStyle w:val="NoSpacing"/>
              <w:jc w:val="both"/>
              <w:rPr>
                <w:rFonts w:ascii="Arial" w:eastAsia="Calibri" w:hAnsi="Arial" w:cs="Arial"/>
                <w:bCs/>
                <w:iCs/>
                <w:sz w:val="24"/>
                <w:szCs w:val="24"/>
              </w:rPr>
            </w:pPr>
          </w:p>
        </w:tc>
        <w:tc>
          <w:tcPr>
            <w:tcW w:w="7922" w:type="dxa"/>
            <w:gridSpan w:val="8"/>
            <w:tcBorders>
              <w:top w:val="single" w:sz="4" w:space="0" w:color="auto"/>
              <w:left w:val="single" w:sz="4" w:space="0" w:color="auto"/>
              <w:bottom w:val="single" w:sz="4" w:space="0" w:color="auto"/>
              <w:right w:val="single" w:sz="4" w:space="0" w:color="auto"/>
            </w:tcBorders>
            <w:vAlign w:val="center"/>
          </w:tcPr>
          <w:p w14:paraId="5EA196F6" w14:textId="77777777" w:rsidR="00F91B1E" w:rsidRPr="00453F31" w:rsidRDefault="00F91B1E" w:rsidP="00A3243E">
            <w:pPr>
              <w:pStyle w:val="NoSpacing"/>
              <w:jc w:val="center"/>
              <w:rPr>
                <w:rFonts w:ascii="Arial" w:eastAsia="Calibri" w:hAnsi="Arial" w:cs="Arial"/>
                <w:iCs/>
                <w:sz w:val="24"/>
                <w:szCs w:val="24"/>
              </w:rPr>
            </w:pPr>
            <w:r w:rsidRPr="00453F31">
              <w:rPr>
                <w:rFonts w:ascii="Arial" w:hAnsi="Arial" w:cs="Arial"/>
                <w:sz w:val="24"/>
                <w:szCs w:val="24"/>
              </w:rPr>
              <w:t>Waived, if debited through Salary Account</w:t>
            </w:r>
          </w:p>
        </w:tc>
      </w:tr>
      <w:tr w:rsidR="00F91B1E" w:rsidRPr="00453F31" w14:paraId="3CE084AD"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63DBF688" w14:textId="77777777" w:rsidR="00F91B1E" w:rsidRPr="00453F31" w:rsidRDefault="00F91B1E" w:rsidP="00A3243E">
            <w:pPr>
              <w:rPr>
                <w:rFonts w:ascii="Arial" w:eastAsia="Calibri" w:hAnsi="Arial" w:cs="Arial"/>
                <w:b/>
                <w:bCs/>
                <w:iCs/>
              </w:rPr>
            </w:pPr>
            <w:r w:rsidRPr="00453F31">
              <w:rPr>
                <w:rFonts w:ascii="Arial" w:hAnsi="Arial" w:cs="Arial"/>
              </w:rPr>
              <w:t xml:space="preserve">Family Savings Account – SBI </w:t>
            </w:r>
            <w:proofErr w:type="spellStart"/>
            <w:r w:rsidRPr="00453F31">
              <w:rPr>
                <w:rFonts w:ascii="Arial" w:hAnsi="Arial" w:cs="Arial"/>
              </w:rPr>
              <w:t>Rishtey</w:t>
            </w:r>
            <w:proofErr w:type="spellEnd"/>
          </w:p>
        </w:tc>
        <w:tc>
          <w:tcPr>
            <w:tcW w:w="7922" w:type="dxa"/>
            <w:gridSpan w:val="8"/>
            <w:tcBorders>
              <w:top w:val="single" w:sz="4" w:space="0" w:color="auto"/>
              <w:left w:val="single" w:sz="4" w:space="0" w:color="auto"/>
              <w:bottom w:val="single" w:sz="4" w:space="0" w:color="auto"/>
              <w:right w:val="single" w:sz="4" w:space="0" w:color="auto"/>
            </w:tcBorders>
          </w:tcPr>
          <w:p w14:paraId="088DA430"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Available for Gold, Diamond, Platinum &amp; Rhodium variants</w:t>
            </w:r>
          </w:p>
        </w:tc>
      </w:tr>
      <w:tr w:rsidR="00F91B1E" w:rsidRPr="00453F31" w14:paraId="643A4D86" w14:textId="77777777" w:rsidTr="00A3243E">
        <w:trPr>
          <w:trHeight w:val="29"/>
        </w:trPr>
        <w:tc>
          <w:tcPr>
            <w:tcW w:w="10660" w:type="dxa"/>
            <w:gridSpan w:val="10"/>
            <w:tcBorders>
              <w:top w:val="single" w:sz="4" w:space="0" w:color="auto"/>
              <w:left w:val="single" w:sz="4" w:space="0" w:color="auto"/>
              <w:bottom w:val="single" w:sz="4" w:space="0" w:color="auto"/>
              <w:right w:val="single" w:sz="4" w:space="0" w:color="auto"/>
            </w:tcBorders>
          </w:tcPr>
          <w:p w14:paraId="0C4EC661" w14:textId="77777777" w:rsidR="00F91B1E" w:rsidRPr="00453F31" w:rsidRDefault="00F91B1E" w:rsidP="00A3243E">
            <w:pPr>
              <w:jc w:val="both"/>
              <w:rPr>
                <w:rFonts w:ascii="Arial" w:hAnsi="Arial" w:cs="Arial"/>
                <w:b/>
                <w:bCs/>
              </w:rPr>
            </w:pPr>
            <w:r w:rsidRPr="00453F31">
              <w:rPr>
                <w:rFonts w:ascii="Arial" w:hAnsi="Arial" w:cs="Arial"/>
                <w:b/>
                <w:bCs/>
              </w:rPr>
              <w:t xml:space="preserve">1.3.SBI RISHTEY: </w:t>
            </w:r>
            <w:r w:rsidRPr="00453F31">
              <w:rPr>
                <w:rFonts w:ascii="Arial" w:hAnsi="Arial" w:cs="Arial"/>
              </w:rPr>
              <w:t>Family Savings account for up to 4 family members (any 4 amongst, Spouse, Children, Parents &amp; Siblings) of Gold and above variant salary account holders.</w:t>
            </w:r>
          </w:p>
          <w:p w14:paraId="451D2F6F" w14:textId="77777777" w:rsidR="00F91B1E" w:rsidRPr="00453F31" w:rsidRDefault="00F91B1E" w:rsidP="00A3243E">
            <w:pPr>
              <w:jc w:val="both"/>
              <w:rPr>
                <w:rFonts w:ascii="Arial" w:hAnsi="Arial" w:cs="Arial"/>
                <w:b/>
                <w:bCs/>
              </w:rPr>
            </w:pPr>
            <w:r w:rsidRPr="00453F31">
              <w:rPr>
                <w:rFonts w:ascii="Arial" w:hAnsi="Arial" w:cs="Arial"/>
                <w:b/>
                <w:bCs/>
              </w:rPr>
              <w:t xml:space="preserve">Benefits under “SBI </w:t>
            </w:r>
            <w:proofErr w:type="spellStart"/>
            <w:r w:rsidRPr="00453F31">
              <w:rPr>
                <w:rFonts w:ascii="Arial" w:hAnsi="Arial" w:cs="Arial"/>
                <w:b/>
                <w:bCs/>
              </w:rPr>
              <w:t>Rishtey</w:t>
            </w:r>
            <w:proofErr w:type="spellEnd"/>
            <w:r w:rsidRPr="00453F31">
              <w:rPr>
                <w:rFonts w:ascii="Arial" w:hAnsi="Arial" w:cs="Arial"/>
                <w:b/>
                <w:bCs/>
              </w:rPr>
              <w:t>”:</w:t>
            </w:r>
          </w:p>
          <w:p w14:paraId="0BB19802"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Type of Account: Regular Savings Bank Account</w:t>
            </w:r>
          </w:p>
          <w:p w14:paraId="372140AC"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 xml:space="preserve">Minimum Balance/ Monthly Average Balance: Nil </w:t>
            </w:r>
          </w:p>
          <w:p w14:paraId="11BAC5F4"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Debit Card: Classic Debit Card (Free, Issuance and AMC)</w:t>
            </w:r>
          </w:p>
          <w:p w14:paraId="4548CF59"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Transaction at ATMs: U</w:t>
            </w:r>
            <w:r w:rsidRPr="00453F31">
              <w:rPr>
                <w:rFonts w:ascii="Arial" w:hAnsi="Arial" w:cs="Arial"/>
                <w:bCs/>
              </w:rPr>
              <w:t xml:space="preserve">nlimited free at all SBI ATMs and 10 free transactions (including both financial and non-financial transactions) per month at non-SBI ATMs </w:t>
            </w:r>
            <w:r w:rsidRPr="00453F31">
              <w:rPr>
                <w:rFonts w:ascii="Arial" w:hAnsi="Arial" w:cs="Arial"/>
              </w:rPr>
              <w:t>using debit card linked to “</w:t>
            </w:r>
            <w:proofErr w:type="spellStart"/>
            <w:r w:rsidRPr="00453F31">
              <w:rPr>
                <w:rFonts w:ascii="Arial" w:hAnsi="Arial" w:cs="Arial"/>
              </w:rPr>
              <w:t>Rishtey</w:t>
            </w:r>
            <w:proofErr w:type="spellEnd"/>
            <w:r w:rsidRPr="00453F31">
              <w:rPr>
                <w:rFonts w:ascii="Arial" w:hAnsi="Arial" w:cs="Arial"/>
              </w:rPr>
              <w:t>” accounts.</w:t>
            </w:r>
          </w:p>
          <w:p w14:paraId="15475B88"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lastRenderedPageBreak/>
              <w:t xml:space="preserve"> Multi City Cheque: Nil Charge (Except for Bulk Requirement </w:t>
            </w:r>
            <w:proofErr w:type="spellStart"/>
            <w:r w:rsidRPr="00453F31">
              <w:rPr>
                <w:rFonts w:ascii="Arial" w:hAnsi="Arial" w:cs="Arial"/>
              </w:rPr>
              <w:t>i.e</w:t>
            </w:r>
            <w:proofErr w:type="spellEnd"/>
            <w:r w:rsidRPr="00453F31">
              <w:rPr>
                <w:rFonts w:ascii="Arial" w:hAnsi="Arial" w:cs="Arial"/>
              </w:rPr>
              <w:t xml:space="preserve"> in excess of 25 leaves at a single instance or in a month)</w:t>
            </w:r>
          </w:p>
          <w:p w14:paraId="6D8F2DD8"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NEFT/RTGS Charges: Free (Online), Applicable charges in offline mode</w:t>
            </w:r>
          </w:p>
          <w:p w14:paraId="28DEB593"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Demand Draft Charges: Free, if issued by debit to “</w:t>
            </w:r>
            <w:proofErr w:type="spellStart"/>
            <w:r w:rsidRPr="00453F31">
              <w:rPr>
                <w:rFonts w:ascii="Arial" w:hAnsi="Arial" w:cs="Arial"/>
              </w:rPr>
              <w:t>Rishtey</w:t>
            </w:r>
            <w:proofErr w:type="spellEnd"/>
            <w:r w:rsidRPr="00453F31">
              <w:rPr>
                <w:rFonts w:ascii="Arial" w:hAnsi="Arial" w:cs="Arial"/>
              </w:rPr>
              <w:t>” account</w:t>
            </w:r>
          </w:p>
          <w:p w14:paraId="02E896DB"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 xml:space="preserve">Auto Sweep Facility: Available (lucrative option to earn higher interest on Saving A/c) </w:t>
            </w:r>
            <w:r w:rsidRPr="00453F31">
              <w:rPr>
                <w:rFonts w:ascii="Arial" w:hAnsi="Arial" w:cs="Arial"/>
                <w:i/>
                <w:iCs/>
              </w:rPr>
              <w:t>Threshold Amount: Rs.35,000/- &amp; TDRs/ STDRs to be created for a minimum amount of Rs.10,000/- (and in multiples of Rs.1,000/-) in any one instance</w:t>
            </w:r>
          </w:p>
          <w:p w14:paraId="2FF009DB" w14:textId="77777777" w:rsidR="00F91B1E" w:rsidRPr="00453F31" w:rsidRDefault="00F91B1E" w:rsidP="00A3243E">
            <w:pPr>
              <w:pStyle w:val="ListParagraph"/>
              <w:numPr>
                <w:ilvl w:val="0"/>
                <w:numId w:val="2"/>
              </w:numPr>
              <w:spacing w:after="200" w:line="276" w:lineRule="auto"/>
              <w:ind w:hanging="671"/>
              <w:jc w:val="both"/>
              <w:rPr>
                <w:rFonts w:ascii="Arial" w:hAnsi="Arial" w:cs="Arial"/>
              </w:rPr>
            </w:pPr>
            <w:r w:rsidRPr="00453F31">
              <w:rPr>
                <w:rFonts w:ascii="Arial" w:hAnsi="Arial" w:cs="Arial"/>
              </w:rPr>
              <w:t>SMS Alert Charges: Free</w:t>
            </w:r>
          </w:p>
          <w:p w14:paraId="26B6D62D" w14:textId="77777777" w:rsidR="00F91B1E" w:rsidRPr="00453F31" w:rsidRDefault="00F91B1E" w:rsidP="00A3243E">
            <w:pPr>
              <w:pStyle w:val="ListParagraph"/>
              <w:numPr>
                <w:ilvl w:val="0"/>
                <w:numId w:val="2"/>
              </w:numPr>
              <w:spacing w:after="200" w:line="276" w:lineRule="auto"/>
              <w:ind w:hanging="671"/>
              <w:jc w:val="both"/>
              <w:rPr>
                <w:rFonts w:ascii="Arial" w:hAnsi="Arial" w:cs="Arial"/>
                <w:b/>
                <w:bCs/>
                <w:u w:val="single"/>
              </w:rPr>
            </w:pPr>
            <w:r w:rsidRPr="00453F31">
              <w:rPr>
                <w:rFonts w:ascii="Arial" w:hAnsi="Arial" w:cs="Arial"/>
              </w:rPr>
              <w:t>Annual Locker Rentals: 10% Concession on applicable locker rentals, every year</w:t>
            </w:r>
          </w:p>
          <w:p w14:paraId="4F434EFE" w14:textId="77777777" w:rsidR="00F91B1E" w:rsidRPr="00453F31" w:rsidRDefault="00F91B1E" w:rsidP="00A3243E">
            <w:pPr>
              <w:pStyle w:val="ListParagraph"/>
              <w:numPr>
                <w:ilvl w:val="0"/>
                <w:numId w:val="2"/>
              </w:numPr>
              <w:spacing w:after="200" w:line="276" w:lineRule="auto"/>
              <w:ind w:hanging="671"/>
              <w:jc w:val="both"/>
              <w:rPr>
                <w:rFonts w:ascii="Arial" w:hAnsi="Arial" w:cs="Arial"/>
                <w:b/>
                <w:bCs/>
                <w:u w:val="single"/>
              </w:rPr>
            </w:pPr>
            <w:r w:rsidRPr="00453F31">
              <w:rPr>
                <w:rFonts w:ascii="Arial" w:hAnsi="Arial" w:cs="Arial"/>
              </w:rPr>
              <w:t>Personal Accidental Insurance (Death Cover): Up to ₹ 5 lakh each for all “</w:t>
            </w:r>
            <w:proofErr w:type="spellStart"/>
            <w:r w:rsidRPr="00453F31">
              <w:rPr>
                <w:rFonts w:ascii="Arial" w:hAnsi="Arial" w:cs="Arial"/>
              </w:rPr>
              <w:t>Rishtey</w:t>
            </w:r>
            <w:proofErr w:type="spellEnd"/>
            <w:r w:rsidRPr="00453F31">
              <w:rPr>
                <w:rFonts w:ascii="Arial" w:hAnsi="Arial" w:cs="Arial"/>
              </w:rPr>
              <w:t>” A/c holders (except minors)</w:t>
            </w:r>
          </w:p>
        </w:tc>
      </w:tr>
      <w:tr w:rsidR="00F91B1E" w:rsidRPr="00453F31" w14:paraId="0AC55713" w14:textId="77777777" w:rsidTr="00A3243E">
        <w:trPr>
          <w:trHeight w:val="29"/>
        </w:trPr>
        <w:tc>
          <w:tcPr>
            <w:tcW w:w="10660" w:type="dxa"/>
            <w:gridSpan w:val="10"/>
            <w:tcBorders>
              <w:top w:val="single" w:sz="4" w:space="0" w:color="auto"/>
              <w:left w:val="single" w:sz="4" w:space="0" w:color="auto"/>
              <w:bottom w:val="single" w:sz="4" w:space="0" w:color="auto"/>
              <w:right w:val="single" w:sz="4" w:space="0" w:color="auto"/>
            </w:tcBorders>
          </w:tcPr>
          <w:p w14:paraId="2BBCF30F" w14:textId="77777777" w:rsidR="00F91B1E" w:rsidRPr="00453F31" w:rsidRDefault="00F91B1E" w:rsidP="00A3243E">
            <w:pPr>
              <w:pStyle w:val="NoSpacing"/>
              <w:rPr>
                <w:rFonts w:ascii="Arial" w:eastAsia="Calibri" w:hAnsi="Arial" w:cs="Arial"/>
                <w:b/>
                <w:bCs/>
                <w:iCs/>
                <w:sz w:val="24"/>
                <w:szCs w:val="24"/>
              </w:rPr>
            </w:pPr>
            <w:r w:rsidRPr="00453F31">
              <w:rPr>
                <w:rFonts w:ascii="Arial" w:eastAsia="Calibri" w:hAnsi="Arial" w:cs="Arial"/>
                <w:b/>
                <w:iCs/>
                <w:sz w:val="24"/>
                <w:szCs w:val="24"/>
              </w:rPr>
              <w:lastRenderedPageBreak/>
              <w:t xml:space="preserve">1.4. Complimentary Insurance Cover* </w:t>
            </w:r>
          </w:p>
        </w:tc>
      </w:tr>
      <w:tr w:rsidR="00F91B1E" w:rsidRPr="00453F31" w14:paraId="134FD3F0" w14:textId="77777777" w:rsidTr="00A3243E">
        <w:trPr>
          <w:trHeight w:val="29"/>
        </w:trPr>
        <w:tc>
          <w:tcPr>
            <w:tcW w:w="2703" w:type="dxa"/>
            <w:tcBorders>
              <w:top w:val="single" w:sz="4" w:space="0" w:color="auto"/>
              <w:left w:val="single" w:sz="4" w:space="0" w:color="auto"/>
              <w:bottom w:val="single" w:sz="4" w:space="0" w:color="auto"/>
              <w:right w:val="single" w:sz="4" w:space="0" w:color="auto"/>
            </w:tcBorders>
          </w:tcPr>
          <w:p w14:paraId="4FAA3876"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rPr>
              <w:br w:type="page"/>
            </w:r>
            <w:r w:rsidRPr="00453F31">
              <w:rPr>
                <w:rFonts w:ascii="Arial" w:eastAsia="Calibri" w:hAnsi="Arial" w:cs="Arial"/>
              </w:rPr>
              <w:br w:type="page"/>
            </w:r>
            <w:r w:rsidRPr="00453F31">
              <w:rPr>
                <w:rFonts w:ascii="Arial" w:eastAsia="Calibri" w:hAnsi="Arial" w:cs="Arial"/>
                <w:b/>
                <w:bCs/>
              </w:rPr>
              <w:t>Variants</w:t>
            </w:r>
          </w:p>
        </w:tc>
        <w:tc>
          <w:tcPr>
            <w:tcW w:w="1703" w:type="dxa"/>
            <w:gridSpan w:val="2"/>
            <w:tcBorders>
              <w:top w:val="single" w:sz="4" w:space="0" w:color="auto"/>
              <w:left w:val="single" w:sz="4" w:space="0" w:color="auto"/>
              <w:bottom w:val="single" w:sz="4" w:space="0" w:color="auto"/>
              <w:right w:val="single" w:sz="4" w:space="0" w:color="auto"/>
            </w:tcBorders>
          </w:tcPr>
          <w:p w14:paraId="5044E86C"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b/>
                <w:iCs/>
              </w:rPr>
              <w:t>Silver</w:t>
            </w:r>
          </w:p>
        </w:tc>
        <w:tc>
          <w:tcPr>
            <w:tcW w:w="1417" w:type="dxa"/>
            <w:tcBorders>
              <w:top w:val="single" w:sz="4" w:space="0" w:color="auto"/>
              <w:left w:val="single" w:sz="4" w:space="0" w:color="auto"/>
              <w:bottom w:val="single" w:sz="4" w:space="0" w:color="auto"/>
              <w:right w:val="single" w:sz="4" w:space="0" w:color="auto"/>
            </w:tcBorders>
          </w:tcPr>
          <w:p w14:paraId="7E95641A"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b/>
                <w:iCs/>
              </w:rPr>
              <w:t>Gold</w:t>
            </w:r>
          </w:p>
        </w:tc>
        <w:tc>
          <w:tcPr>
            <w:tcW w:w="1701" w:type="dxa"/>
            <w:gridSpan w:val="3"/>
            <w:tcBorders>
              <w:top w:val="single" w:sz="4" w:space="0" w:color="auto"/>
              <w:left w:val="single" w:sz="4" w:space="0" w:color="auto"/>
              <w:bottom w:val="single" w:sz="4" w:space="0" w:color="auto"/>
              <w:right w:val="single" w:sz="4" w:space="0" w:color="auto"/>
            </w:tcBorders>
          </w:tcPr>
          <w:p w14:paraId="442E36BA"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b/>
                <w:iCs/>
              </w:rPr>
              <w:t>Diamond</w:t>
            </w:r>
          </w:p>
        </w:tc>
        <w:tc>
          <w:tcPr>
            <w:tcW w:w="1560" w:type="dxa"/>
            <w:tcBorders>
              <w:top w:val="single" w:sz="4" w:space="0" w:color="auto"/>
              <w:left w:val="single" w:sz="4" w:space="0" w:color="auto"/>
              <w:bottom w:val="single" w:sz="4" w:space="0" w:color="auto"/>
              <w:right w:val="single" w:sz="4" w:space="0" w:color="auto"/>
            </w:tcBorders>
          </w:tcPr>
          <w:p w14:paraId="3BF64C05"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b/>
                <w:iCs/>
              </w:rPr>
              <w:t>Platinum</w:t>
            </w:r>
          </w:p>
        </w:tc>
        <w:tc>
          <w:tcPr>
            <w:tcW w:w="1576" w:type="dxa"/>
            <w:gridSpan w:val="2"/>
            <w:tcBorders>
              <w:top w:val="single" w:sz="4" w:space="0" w:color="auto"/>
              <w:left w:val="single" w:sz="4" w:space="0" w:color="auto"/>
              <w:bottom w:val="single" w:sz="4" w:space="0" w:color="auto"/>
              <w:right w:val="single" w:sz="4" w:space="0" w:color="auto"/>
            </w:tcBorders>
          </w:tcPr>
          <w:p w14:paraId="72CF3C79" w14:textId="77777777" w:rsidR="00F91B1E" w:rsidRPr="00453F31" w:rsidRDefault="00F91B1E" w:rsidP="00A3243E">
            <w:pPr>
              <w:pStyle w:val="NoSpacing"/>
              <w:jc w:val="center"/>
              <w:rPr>
                <w:rFonts w:ascii="Arial" w:eastAsia="Calibri" w:hAnsi="Arial" w:cs="Arial"/>
                <w:b/>
                <w:iCs/>
                <w:sz w:val="24"/>
                <w:szCs w:val="24"/>
              </w:rPr>
            </w:pPr>
            <w:r w:rsidRPr="00453F31">
              <w:rPr>
                <w:rFonts w:ascii="Arial" w:eastAsia="Calibri" w:hAnsi="Arial" w:cs="Arial"/>
                <w:b/>
                <w:iCs/>
              </w:rPr>
              <w:t>Rhodium</w:t>
            </w:r>
          </w:p>
        </w:tc>
      </w:tr>
      <w:tr w:rsidR="00F91B1E" w:rsidRPr="00453F31" w14:paraId="4C88AD53"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788259E7" w14:textId="77777777" w:rsidR="00F91B1E" w:rsidRPr="00453F31" w:rsidRDefault="00F91B1E" w:rsidP="00A3243E">
            <w:pPr>
              <w:pStyle w:val="NoSpacing"/>
              <w:jc w:val="both"/>
              <w:rPr>
                <w:rFonts w:ascii="Arial" w:eastAsia="Calibri" w:hAnsi="Arial" w:cs="Arial"/>
                <w:b/>
                <w:iCs/>
                <w:sz w:val="24"/>
                <w:szCs w:val="24"/>
              </w:rPr>
            </w:pPr>
            <w:r w:rsidRPr="00453F31">
              <w:rPr>
                <w:rFonts w:ascii="Arial" w:eastAsia="Calibri" w:hAnsi="Arial" w:cs="Arial"/>
                <w:bCs/>
                <w:iCs/>
                <w:sz w:val="24"/>
                <w:szCs w:val="24"/>
              </w:rPr>
              <w:t xml:space="preserve">Personal Accident Insurance (Death) Cover (PAI) </w:t>
            </w:r>
          </w:p>
        </w:tc>
        <w:tc>
          <w:tcPr>
            <w:tcW w:w="7922" w:type="dxa"/>
            <w:gridSpan w:val="8"/>
            <w:tcBorders>
              <w:top w:val="single" w:sz="4" w:space="0" w:color="auto"/>
              <w:left w:val="single" w:sz="4" w:space="0" w:color="auto"/>
              <w:bottom w:val="single" w:sz="4" w:space="0" w:color="auto"/>
              <w:right w:val="single" w:sz="4" w:space="0" w:color="auto"/>
            </w:tcBorders>
          </w:tcPr>
          <w:p w14:paraId="3BBFEA34"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Rs.100 lakh</w:t>
            </w:r>
          </w:p>
        </w:tc>
      </w:tr>
      <w:tr w:rsidR="00F91B1E" w:rsidRPr="00453F31" w14:paraId="69772718"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326E1A3A"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Permanent Total Disability Cover (PTD)</w:t>
            </w:r>
          </w:p>
        </w:tc>
        <w:tc>
          <w:tcPr>
            <w:tcW w:w="7922" w:type="dxa"/>
            <w:gridSpan w:val="8"/>
            <w:tcBorders>
              <w:top w:val="single" w:sz="4" w:space="0" w:color="auto"/>
              <w:left w:val="single" w:sz="4" w:space="0" w:color="auto"/>
              <w:bottom w:val="single" w:sz="4" w:space="0" w:color="auto"/>
              <w:right w:val="single" w:sz="4" w:space="0" w:color="auto"/>
            </w:tcBorders>
          </w:tcPr>
          <w:p w14:paraId="44F0EB14"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Up to Rs.100 lakh</w:t>
            </w:r>
          </w:p>
        </w:tc>
      </w:tr>
      <w:tr w:rsidR="00F91B1E" w:rsidRPr="00453F31" w14:paraId="1EEC4E1A"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1B23B2D7"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Permanent Partial Disability Cover (PPD)</w:t>
            </w:r>
          </w:p>
        </w:tc>
        <w:tc>
          <w:tcPr>
            <w:tcW w:w="7922" w:type="dxa"/>
            <w:gridSpan w:val="8"/>
            <w:tcBorders>
              <w:top w:val="single" w:sz="4" w:space="0" w:color="auto"/>
              <w:left w:val="single" w:sz="4" w:space="0" w:color="auto"/>
              <w:bottom w:val="single" w:sz="4" w:space="0" w:color="auto"/>
              <w:right w:val="single" w:sz="4" w:space="0" w:color="auto"/>
            </w:tcBorders>
          </w:tcPr>
          <w:p w14:paraId="4390A3E5"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Up to Rs.80 lakh</w:t>
            </w:r>
          </w:p>
        </w:tc>
      </w:tr>
      <w:tr w:rsidR="00F91B1E" w:rsidRPr="00453F31" w14:paraId="6F03ECEB" w14:textId="77777777" w:rsidTr="00A3243E">
        <w:trPr>
          <w:trHeight w:val="29"/>
        </w:trPr>
        <w:tc>
          <w:tcPr>
            <w:tcW w:w="10660" w:type="dxa"/>
            <w:gridSpan w:val="10"/>
            <w:tcBorders>
              <w:top w:val="single" w:sz="4" w:space="0" w:color="auto"/>
              <w:left w:val="single" w:sz="4" w:space="0" w:color="auto"/>
              <w:bottom w:val="single" w:sz="4" w:space="0" w:color="auto"/>
              <w:right w:val="single" w:sz="4" w:space="0" w:color="auto"/>
            </w:tcBorders>
          </w:tcPr>
          <w:p w14:paraId="6A7D00FA" w14:textId="77777777" w:rsidR="00F91B1E" w:rsidRPr="00453F31" w:rsidRDefault="00F91B1E" w:rsidP="00A3243E">
            <w:pPr>
              <w:jc w:val="both"/>
              <w:rPr>
                <w:rFonts w:ascii="Arial" w:hAnsi="Arial" w:cs="Arial"/>
              </w:rPr>
            </w:pPr>
            <w:r w:rsidRPr="00453F31">
              <w:rPr>
                <w:rFonts w:ascii="Arial" w:hAnsi="Arial" w:cs="Arial"/>
                <w:b/>
                <w:bCs/>
              </w:rPr>
              <w:t>Add-on Insurance Covers: Applicable on admissibility of Personal Accidental Insurance (Death) Cover-</w:t>
            </w:r>
            <w:r w:rsidRPr="00453F31">
              <w:rPr>
                <w:rFonts w:ascii="Arial" w:eastAsia="Calibri" w:hAnsi="Arial" w:cs="Arial"/>
                <w:iCs/>
              </w:rPr>
              <w:t xml:space="preserve"> Available as per the Insurance Policy provisions</w:t>
            </w:r>
          </w:p>
          <w:p w14:paraId="589B663D"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Plastic Surgery in Burn Cases: Maximum up to ₹ 10 lakh</w:t>
            </w:r>
          </w:p>
          <w:p w14:paraId="5CAE0FD2"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Pr>
                <w:rFonts w:ascii="Arial" w:hAnsi="Arial" w:cs="Arial"/>
                <w:sz w:val="24"/>
                <w:szCs w:val="24"/>
              </w:rPr>
              <w:t xml:space="preserve">Transportation of </w:t>
            </w:r>
            <w:r w:rsidRPr="00453F31">
              <w:rPr>
                <w:rFonts w:ascii="Arial" w:hAnsi="Arial" w:cs="Arial"/>
                <w:sz w:val="24"/>
                <w:szCs w:val="24"/>
              </w:rPr>
              <w:t>Import</w:t>
            </w:r>
            <w:r>
              <w:rPr>
                <w:rFonts w:ascii="Arial" w:hAnsi="Arial" w:cs="Arial"/>
                <w:sz w:val="24"/>
                <w:szCs w:val="24"/>
              </w:rPr>
              <w:t xml:space="preserve">ed </w:t>
            </w:r>
            <w:r w:rsidRPr="00453F31">
              <w:rPr>
                <w:rFonts w:ascii="Arial" w:hAnsi="Arial" w:cs="Arial"/>
                <w:sz w:val="24"/>
                <w:szCs w:val="24"/>
              </w:rPr>
              <w:t>medicine: Maximum up to ₹ 5 lakh</w:t>
            </w:r>
          </w:p>
          <w:p w14:paraId="1CA1C714"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Ambulance Charges: Maximum up to ₹ 50,000/-</w:t>
            </w:r>
          </w:p>
          <w:p w14:paraId="055F114D"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Air Ambulance Cover: Maximum up to ₹ 10 lakh</w:t>
            </w:r>
          </w:p>
          <w:p w14:paraId="2B2771F1"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3F333E">
              <w:rPr>
                <w:rFonts w:ascii="Arial" w:hAnsi="Arial" w:cs="Arial"/>
                <w:sz w:val="24"/>
                <w:szCs w:val="24"/>
              </w:rPr>
              <w:t>Child Higher Education Cover</w:t>
            </w:r>
            <w:r w:rsidRPr="00453F31">
              <w:rPr>
                <w:rFonts w:ascii="Arial" w:hAnsi="Arial" w:cs="Arial"/>
                <w:sz w:val="24"/>
                <w:szCs w:val="24"/>
              </w:rPr>
              <w:t xml:space="preserve"> (for Graduation) age between 18-25 years – 25% of entitled PAI cover (If PAI claim is found admissible) – </w:t>
            </w:r>
            <w:proofErr w:type="spellStart"/>
            <w:r w:rsidRPr="00453F31">
              <w:rPr>
                <w:rFonts w:ascii="Arial" w:hAnsi="Arial" w:cs="Arial"/>
                <w:sz w:val="24"/>
                <w:szCs w:val="24"/>
              </w:rPr>
              <w:t>Upto</w:t>
            </w:r>
            <w:proofErr w:type="spellEnd"/>
            <w:r w:rsidRPr="00453F31">
              <w:rPr>
                <w:rFonts w:ascii="Arial" w:hAnsi="Arial" w:cs="Arial"/>
                <w:sz w:val="24"/>
                <w:szCs w:val="24"/>
              </w:rPr>
              <w:t xml:space="preserve"> ₹8 lakh for Male Child and </w:t>
            </w:r>
            <w:proofErr w:type="spellStart"/>
            <w:r w:rsidRPr="00453F31">
              <w:rPr>
                <w:rFonts w:ascii="Arial" w:hAnsi="Arial" w:cs="Arial"/>
                <w:sz w:val="24"/>
                <w:szCs w:val="24"/>
              </w:rPr>
              <w:t>Upto</w:t>
            </w:r>
            <w:proofErr w:type="spellEnd"/>
            <w:r w:rsidRPr="00453F31">
              <w:rPr>
                <w:rFonts w:ascii="Arial" w:hAnsi="Arial" w:cs="Arial"/>
                <w:sz w:val="24"/>
                <w:szCs w:val="24"/>
              </w:rPr>
              <w:t xml:space="preserve"> ₹10 lakh for Girl Child, for one child only.</w:t>
            </w:r>
          </w:p>
          <w:p w14:paraId="234B0285"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3F333E">
              <w:rPr>
                <w:rFonts w:ascii="Arial" w:hAnsi="Arial" w:cs="Arial"/>
                <w:sz w:val="24"/>
                <w:szCs w:val="24"/>
              </w:rPr>
              <w:t>Girl Child cover for Marriage</w:t>
            </w:r>
            <w:r w:rsidRPr="00453F31">
              <w:rPr>
                <w:rFonts w:ascii="Arial" w:hAnsi="Arial" w:cs="Arial"/>
                <w:sz w:val="24"/>
                <w:szCs w:val="24"/>
              </w:rPr>
              <w:t xml:space="preserve"> – Age 18-25 years – 20% of entitled PAI cover (If PAI claim is found admissible) – Maximum ₹10 lakh for two girl children (₹5 lakh each) or ₹5 lakh for 1 Girl child.</w:t>
            </w:r>
          </w:p>
          <w:p w14:paraId="0FAC653D"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Death in coma (more than 48 hours) after accident: Maximum up to ₹ 5 lakh</w:t>
            </w:r>
          </w:p>
          <w:p w14:paraId="63B47C1F"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Repatriation of mortal remains: Maximum up to ₹ 50,000/-</w:t>
            </w:r>
          </w:p>
          <w:p w14:paraId="1E0A9C7D"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Family Transportation (cost of travel incurred by immediate 2 family members to reach place of accident): Maximum up to ₹ 50,000/-</w:t>
            </w:r>
          </w:p>
          <w:p w14:paraId="1822181E" w14:textId="77777777" w:rsidR="00F91B1E" w:rsidRPr="00453F31" w:rsidRDefault="00F91B1E" w:rsidP="00A3243E">
            <w:pPr>
              <w:pStyle w:val="ListParagraph"/>
              <w:numPr>
                <w:ilvl w:val="0"/>
                <w:numId w:val="1"/>
              </w:numPr>
              <w:spacing w:after="200" w:line="276" w:lineRule="auto"/>
              <w:ind w:left="319" w:hanging="270"/>
              <w:jc w:val="both"/>
              <w:rPr>
                <w:rFonts w:ascii="Arial" w:hAnsi="Arial" w:cs="Arial"/>
                <w:sz w:val="24"/>
                <w:szCs w:val="24"/>
              </w:rPr>
            </w:pPr>
            <w:r w:rsidRPr="00453F31">
              <w:rPr>
                <w:rFonts w:ascii="Arial" w:hAnsi="Arial" w:cs="Arial"/>
                <w:sz w:val="24"/>
                <w:szCs w:val="24"/>
              </w:rPr>
              <w:t>Additional Cover of ₹ 10 lakh in case of death while performing official duties on foreign soil</w:t>
            </w:r>
          </w:p>
        </w:tc>
      </w:tr>
      <w:tr w:rsidR="00F91B1E" w:rsidRPr="00453F31" w14:paraId="32AAFEAB"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04A4F227" w14:textId="77777777" w:rsidR="00F91B1E" w:rsidRPr="00453F31" w:rsidRDefault="00F91B1E" w:rsidP="00A3243E">
            <w:pPr>
              <w:pStyle w:val="NoSpacing"/>
              <w:jc w:val="both"/>
              <w:rPr>
                <w:rFonts w:ascii="Arial" w:eastAsia="Calibri" w:hAnsi="Arial" w:cs="Arial"/>
                <w:iCs/>
                <w:sz w:val="24"/>
                <w:szCs w:val="24"/>
              </w:rPr>
            </w:pPr>
            <w:r w:rsidRPr="00453F31">
              <w:rPr>
                <w:rFonts w:ascii="Arial" w:eastAsia="Calibri" w:hAnsi="Arial" w:cs="Arial"/>
                <w:iCs/>
                <w:sz w:val="24"/>
                <w:szCs w:val="24"/>
              </w:rPr>
              <w:t>Air Accidental Insurance (Death) cover (AAI)</w:t>
            </w:r>
          </w:p>
          <w:p w14:paraId="46EA8288" w14:textId="77777777" w:rsidR="00F91B1E" w:rsidRPr="00453F31" w:rsidRDefault="00F91B1E" w:rsidP="00A3243E">
            <w:pPr>
              <w:pStyle w:val="NoSpacing"/>
              <w:jc w:val="both"/>
              <w:rPr>
                <w:rFonts w:ascii="Arial" w:eastAsia="Calibri" w:hAnsi="Arial" w:cs="Arial"/>
                <w:iCs/>
                <w:sz w:val="24"/>
                <w:szCs w:val="24"/>
              </w:rPr>
            </w:pPr>
          </w:p>
        </w:tc>
        <w:tc>
          <w:tcPr>
            <w:tcW w:w="7922" w:type="dxa"/>
            <w:gridSpan w:val="8"/>
            <w:tcBorders>
              <w:top w:val="single" w:sz="4" w:space="0" w:color="auto"/>
              <w:left w:val="single" w:sz="4" w:space="0" w:color="auto"/>
              <w:bottom w:val="single" w:sz="4" w:space="0" w:color="auto"/>
              <w:right w:val="single" w:sz="4" w:space="0" w:color="auto"/>
            </w:tcBorders>
          </w:tcPr>
          <w:p w14:paraId="2D9E765F"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Rs.160 lakh</w:t>
            </w:r>
          </w:p>
          <w:p w14:paraId="332FE19F" w14:textId="77777777" w:rsidR="00F91B1E" w:rsidRPr="00453F31" w:rsidRDefault="00F91B1E" w:rsidP="00A3243E">
            <w:pPr>
              <w:pStyle w:val="Default"/>
              <w:jc w:val="both"/>
              <w:rPr>
                <w:rFonts w:ascii="Arial" w:hAnsi="Arial" w:cs="Arial"/>
                <w:color w:val="auto"/>
              </w:rPr>
            </w:pPr>
            <w:r w:rsidRPr="00453F31">
              <w:rPr>
                <w:rFonts w:ascii="Arial" w:hAnsi="Arial" w:cs="Arial"/>
                <w:color w:val="auto"/>
              </w:rPr>
              <w:t>(</w:t>
            </w:r>
            <w:proofErr w:type="spellStart"/>
            <w:r w:rsidRPr="00453F31">
              <w:rPr>
                <w:rFonts w:ascii="Arial" w:hAnsi="Arial" w:cs="Arial"/>
                <w:color w:val="auto"/>
              </w:rPr>
              <w:t>i</w:t>
            </w:r>
            <w:proofErr w:type="spellEnd"/>
            <w:r w:rsidRPr="00453F31">
              <w:rPr>
                <w:rFonts w:ascii="Arial" w:hAnsi="Arial" w:cs="Arial"/>
                <w:color w:val="auto"/>
              </w:rPr>
              <w:t xml:space="preserve">) If Air ticket have been purchased by debit to State Government Salary Package Account through Debit Card/ Cheque / Internet Banking </w:t>
            </w:r>
            <w:r w:rsidRPr="00453F31">
              <w:rPr>
                <w:rFonts w:ascii="Arial" w:hAnsi="Arial" w:cs="Arial"/>
                <w:b/>
                <w:bCs/>
                <w:color w:val="auto"/>
              </w:rPr>
              <w:t xml:space="preserve">or </w:t>
            </w:r>
          </w:p>
          <w:p w14:paraId="4EEF52B3" w14:textId="77777777" w:rsidR="00F91B1E" w:rsidRPr="00453F31" w:rsidRDefault="00F91B1E" w:rsidP="00A3243E">
            <w:pPr>
              <w:pStyle w:val="Default"/>
              <w:jc w:val="both"/>
              <w:rPr>
                <w:rFonts w:ascii="Arial" w:hAnsi="Arial" w:cs="Arial"/>
                <w:color w:val="auto"/>
              </w:rPr>
            </w:pPr>
            <w:r w:rsidRPr="00453F31">
              <w:rPr>
                <w:rFonts w:ascii="Arial" w:hAnsi="Arial" w:cs="Arial"/>
                <w:color w:val="auto"/>
              </w:rPr>
              <w:t xml:space="preserve">(ii) where ticket is not required to be purchased by the account holder (service/combat/chartered aircrafts of State Government) </w:t>
            </w:r>
            <w:r w:rsidRPr="00453F31">
              <w:rPr>
                <w:rFonts w:ascii="Arial" w:hAnsi="Arial" w:cs="Arial"/>
                <w:b/>
                <w:bCs/>
                <w:color w:val="auto"/>
              </w:rPr>
              <w:t xml:space="preserve">or </w:t>
            </w:r>
          </w:p>
          <w:p w14:paraId="4E4470DF" w14:textId="77777777" w:rsidR="00F91B1E" w:rsidRPr="00453F31" w:rsidRDefault="00F91B1E" w:rsidP="00A3243E">
            <w:pPr>
              <w:pStyle w:val="Default"/>
              <w:jc w:val="both"/>
              <w:rPr>
                <w:rFonts w:ascii="Arial" w:hAnsi="Arial" w:cs="Arial"/>
                <w:iCs/>
                <w:color w:val="auto"/>
              </w:rPr>
            </w:pPr>
            <w:r w:rsidRPr="00453F31">
              <w:rPr>
                <w:rFonts w:ascii="Arial" w:hAnsi="Arial" w:cs="Arial"/>
                <w:color w:val="auto"/>
              </w:rPr>
              <w:t xml:space="preserve">(iii) ticket is provided by the department for official duty. </w:t>
            </w:r>
          </w:p>
        </w:tc>
      </w:tr>
      <w:tr w:rsidR="00F91B1E" w:rsidRPr="00453F31" w14:paraId="1A895E6C"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64F8AFEC" w14:textId="77777777" w:rsidR="00F91B1E" w:rsidRPr="00453F31" w:rsidRDefault="00F91B1E" w:rsidP="00A3243E">
            <w:pPr>
              <w:pStyle w:val="NoSpacing"/>
              <w:jc w:val="both"/>
              <w:rPr>
                <w:rFonts w:ascii="Arial" w:eastAsia="Calibri" w:hAnsi="Arial" w:cs="Arial"/>
                <w:b/>
                <w:iCs/>
                <w:sz w:val="24"/>
                <w:szCs w:val="24"/>
              </w:rPr>
            </w:pPr>
          </w:p>
        </w:tc>
        <w:tc>
          <w:tcPr>
            <w:tcW w:w="7922" w:type="dxa"/>
            <w:gridSpan w:val="8"/>
            <w:tcBorders>
              <w:top w:val="single" w:sz="4" w:space="0" w:color="auto"/>
              <w:left w:val="single" w:sz="4" w:space="0" w:color="auto"/>
              <w:bottom w:val="single" w:sz="4" w:space="0" w:color="auto"/>
              <w:right w:val="single" w:sz="4" w:space="0" w:color="auto"/>
            </w:tcBorders>
          </w:tcPr>
          <w:p w14:paraId="3381EDB7" w14:textId="77777777" w:rsidR="00F91B1E" w:rsidRPr="00453F31" w:rsidRDefault="00F91B1E" w:rsidP="00A3243E">
            <w:pPr>
              <w:pStyle w:val="NoSpacing"/>
              <w:jc w:val="both"/>
              <w:rPr>
                <w:rFonts w:ascii="Arial" w:eastAsia="Calibri" w:hAnsi="Arial" w:cs="Arial"/>
                <w:iCs/>
                <w:sz w:val="24"/>
                <w:szCs w:val="24"/>
              </w:rPr>
            </w:pPr>
            <w:r w:rsidRPr="00453F31">
              <w:rPr>
                <w:rFonts w:ascii="Arial" w:eastAsia="Calibri" w:hAnsi="Arial" w:cs="Arial"/>
                <w:b/>
                <w:bCs/>
                <w:iCs/>
                <w:sz w:val="24"/>
                <w:szCs w:val="24"/>
              </w:rPr>
              <w:t>*</w:t>
            </w:r>
            <w:r w:rsidRPr="00453F31">
              <w:rPr>
                <w:rFonts w:ascii="Arial" w:eastAsia="Calibri" w:hAnsi="Arial" w:cs="Arial"/>
                <w:iCs/>
                <w:sz w:val="24"/>
                <w:szCs w:val="24"/>
              </w:rPr>
              <w:t xml:space="preserve"> Insurance cover available till 03.04.2026</w:t>
            </w:r>
            <w:r w:rsidRPr="00453F31">
              <w:rPr>
                <w:rFonts w:ascii="Arial" w:eastAsia="Calibri" w:hAnsi="Arial" w:cs="Arial"/>
                <w:i/>
                <w:sz w:val="24"/>
                <w:szCs w:val="24"/>
              </w:rPr>
              <w:t xml:space="preserve"> </w:t>
            </w:r>
            <w:r w:rsidRPr="00453F31">
              <w:rPr>
                <w:rFonts w:ascii="Arial" w:eastAsia="Calibri" w:hAnsi="Arial" w:cs="Arial"/>
                <w:iCs/>
                <w:sz w:val="24"/>
                <w:szCs w:val="24"/>
              </w:rPr>
              <w:t>and continuation thereafter will be subject to review / renewal. Terms and Conditions apply.</w:t>
            </w:r>
          </w:p>
        </w:tc>
      </w:tr>
      <w:tr w:rsidR="00F91B1E" w:rsidRPr="00453F31" w14:paraId="6E5665C4"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22F82004" w14:textId="77777777" w:rsidR="00F91B1E" w:rsidRPr="00453F31" w:rsidRDefault="00F91B1E" w:rsidP="00A3243E">
            <w:pPr>
              <w:pStyle w:val="NoSpacing"/>
              <w:jc w:val="both"/>
              <w:rPr>
                <w:rFonts w:ascii="Arial" w:eastAsia="Calibri" w:hAnsi="Arial" w:cs="Arial"/>
                <w:b/>
                <w:iCs/>
                <w:sz w:val="24"/>
                <w:szCs w:val="24"/>
              </w:rPr>
            </w:pPr>
            <w:r w:rsidRPr="00453F31">
              <w:rPr>
                <w:rFonts w:ascii="Arial" w:eastAsia="Calibri" w:hAnsi="Arial" w:cs="Arial"/>
                <w:bCs/>
                <w:iCs/>
                <w:sz w:val="24"/>
                <w:szCs w:val="24"/>
              </w:rPr>
              <w:lastRenderedPageBreak/>
              <w:t>1.5. Group Term Life Insurance (GTLI)</w:t>
            </w:r>
          </w:p>
        </w:tc>
        <w:tc>
          <w:tcPr>
            <w:tcW w:w="7922" w:type="dxa"/>
            <w:gridSpan w:val="8"/>
            <w:tcBorders>
              <w:top w:val="single" w:sz="4" w:space="0" w:color="auto"/>
              <w:left w:val="single" w:sz="4" w:space="0" w:color="auto"/>
              <w:bottom w:val="single" w:sz="4" w:space="0" w:color="auto"/>
              <w:right w:val="single" w:sz="4" w:space="0" w:color="auto"/>
            </w:tcBorders>
          </w:tcPr>
          <w:p w14:paraId="23F0F792"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Rs.10 lakh</w:t>
            </w:r>
          </w:p>
        </w:tc>
      </w:tr>
      <w:tr w:rsidR="00F91B1E" w:rsidRPr="00453F31" w14:paraId="077A491F" w14:textId="77777777" w:rsidTr="00A3243E">
        <w:trPr>
          <w:trHeight w:val="29"/>
        </w:trPr>
        <w:tc>
          <w:tcPr>
            <w:tcW w:w="10660" w:type="dxa"/>
            <w:gridSpan w:val="10"/>
            <w:tcBorders>
              <w:top w:val="single" w:sz="4" w:space="0" w:color="auto"/>
              <w:left w:val="single" w:sz="4" w:space="0" w:color="auto"/>
              <w:bottom w:val="single" w:sz="4" w:space="0" w:color="auto"/>
              <w:right w:val="single" w:sz="4" w:space="0" w:color="auto"/>
            </w:tcBorders>
          </w:tcPr>
          <w:p w14:paraId="038B0638" w14:textId="77777777" w:rsidR="00F91B1E" w:rsidRPr="00453F31" w:rsidRDefault="00F91B1E" w:rsidP="00A3243E">
            <w:pPr>
              <w:pStyle w:val="NoSpacing"/>
              <w:jc w:val="both"/>
              <w:rPr>
                <w:rFonts w:ascii="Arial" w:eastAsia="Calibri" w:hAnsi="Arial" w:cs="Arial"/>
                <w:iCs/>
                <w:sz w:val="24"/>
                <w:szCs w:val="24"/>
              </w:rPr>
            </w:pPr>
            <w:r w:rsidRPr="00453F31">
              <w:rPr>
                <w:rFonts w:ascii="Arial" w:hAnsi="Arial" w:cs="Arial"/>
                <w:b/>
                <w:bCs/>
              </w:rPr>
              <w:t>1.6. Concession in Processing Charges on Loan to SGSP account holders (Serving Personnel)*</w:t>
            </w:r>
          </w:p>
        </w:tc>
      </w:tr>
      <w:tr w:rsidR="00F91B1E" w:rsidRPr="00453F31" w14:paraId="775071B2"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7953D544" w14:textId="77777777" w:rsidR="00F91B1E" w:rsidRPr="00453F31" w:rsidRDefault="00F91B1E" w:rsidP="00A3243E">
            <w:pPr>
              <w:pStyle w:val="NoSpacing"/>
              <w:jc w:val="both"/>
              <w:rPr>
                <w:rFonts w:ascii="Arial" w:eastAsia="Calibri" w:hAnsi="Arial" w:cs="Arial"/>
                <w:b/>
                <w:iCs/>
              </w:rPr>
            </w:pPr>
            <w:r w:rsidRPr="00453F31">
              <w:rPr>
                <w:rFonts w:ascii="Arial" w:hAnsi="Arial" w:cs="Arial"/>
              </w:rPr>
              <w:t>Home Loan</w:t>
            </w:r>
            <w:r>
              <w:rPr>
                <w:rFonts w:ascii="Arial" w:hAnsi="Arial" w:cs="Arial"/>
              </w:rPr>
              <w:t>*</w:t>
            </w:r>
          </w:p>
        </w:tc>
        <w:tc>
          <w:tcPr>
            <w:tcW w:w="7922" w:type="dxa"/>
            <w:gridSpan w:val="8"/>
            <w:tcBorders>
              <w:top w:val="single" w:sz="4" w:space="0" w:color="auto"/>
              <w:left w:val="single" w:sz="4" w:space="0" w:color="auto"/>
              <w:bottom w:val="single" w:sz="4" w:space="0" w:color="auto"/>
              <w:right w:val="single" w:sz="4" w:space="0" w:color="auto"/>
            </w:tcBorders>
          </w:tcPr>
          <w:p w14:paraId="20299BF3" w14:textId="77777777" w:rsidR="00F91B1E" w:rsidRPr="00453F31" w:rsidRDefault="00F91B1E" w:rsidP="00A3243E">
            <w:pPr>
              <w:pStyle w:val="NoSpacing"/>
              <w:jc w:val="both"/>
              <w:rPr>
                <w:rFonts w:ascii="Arial" w:eastAsia="Calibri" w:hAnsi="Arial" w:cs="Arial"/>
                <w:i/>
                <w:iCs/>
              </w:rPr>
            </w:pPr>
            <w:r w:rsidRPr="00453F31">
              <w:rPr>
                <w:rFonts w:ascii="Arial" w:hAnsi="Arial" w:cs="Arial"/>
              </w:rPr>
              <w:t>Processing Fee: 100% concession (Charges for TIR, Valuation, CERSAI, CIBIL charges etc., to be recovered from customer).</w:t>
            </w:r>
          </w:p>
        </w:tc>
      </w:tr>
      <w:tr w:rsidR="00F91B1E" w:rsidRPr="00453F31" w14:paraId="2AD6459F"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6426B13F" w14:textId="77777777" w:rsidR="00F91B1E" w:rsidRPr="00453F31" w:rsidRDefault="00F91B1E" w:rsidP="00A3243E">
            <w:pPr>
              <w:pStyle w:val="NoSpacing"/>
              <w:jc w:val="both"/>
              <w:rPr>
                <w:rFonts w:ascii="Arial" w:eastAsia="Calibri" w:hAnsi="Arial" w:cs="Arial"/>
                <w:b/>
                <w:iCs/>
                <w:sz w:val="24"/>
                <w:szCs w:val="24"/>
              </w:rPr>
            </w:pPr>
            <w:r w:rsidRPr="00453F31">
              <w:rPr>
                <w:rFonts w:ascii="Arial" w:hAnsi="Arial" w:cs="Arial"/>
                <w:sz w:val="24"/>
                <w:szCs w:val="24"/>
              </w:rPr>
              <w:t xml:space="preserve">Car Loan </w:t>
            </w:r>
            <w:r>
              <w:rPr>
                <w:rFonts w:ascii="Arial" w:hAnsi="Arial" w:cs="Arial"/>
                <w:sz w:val="24"/>
                <w:szCs w:val="24"/>
              </w:rPr>
              <w:t>*</w:t>
            </w:r>
          </w:p>
        </w:tc>
        <w:tc>
          <w:tcPr>
            <w:tcW w:w="7922" w:type="dxa"/>
            <w:gridSpan w:val="8"/>
            <w:tcBorders>
              <w:top w:val="single" w:sz="4" w:space="0" w:color="auto"/>
              <w:left w:val="single" w:sz="4" w:space="0" w:color="auto"/>
              <w:bottom w:val="single" w:sz="4" w:space="0" w:color="auto"/>
              <w:right w:val="single" w:sz="4" w:space="0" w:color="auto"/>
            </w:tcBorders>
          </w:tcPr>
          <w:p w14:paraId="3B6ABA31" w14:textId="77777777" w:rsidR="00F91B1E" w:rsidRPr="00453F31" w:rsidRDefault="00F91B1E" w:rsidP="00A3243E">
            <w:pPr>
              <w:rPr>
                <w:rFonts w:ascii="Arial" w:hAnsi="Arial" w:cs="Arial"/>
              </w:rPr>
            </w:pPr>
            <w:r w:rsidRPr="00453F31">
              <w:rPr>
                <w:rFonts w:ascii="Arial" w:hAnsi="Arial" w:cs="Arial"/>
              </w:rPr>
              <w:t>Processing Fee: 50 % of Card Rate or ₹ 500/-, whichever is more is chargeable</w:t>
            </w:r>
          </w:p>
          <w:p w14:paraId="0875D0C2" w14:textId="77777777" w:rsidR="00F91B1E" w:rsidRPr="00453F31" w:rsidRDefault="00F91B1E" w:rsidP="00A3243E">
            <w:pPr>
              <w:rPr>
                <w:rFonts w:ascii="Arial" w:hAnsi="Arial" w:cs="Arial"/>
                <w:i/>
                <w:iCs/>
              </w:rPr>
            </w:pPr>
            <w:r w:rsidRPr="00453F31">
              <w:rPr>
                <w:rFonts w:ascii="Arial" w:hAnsi="Arial" w:cs="Arial"/>
              </w:rPr>
              <w:t>Relaxation in Margin: 5% concession (LTV Subject to maximum of 100% of ex-showroom price of the vehicle)</w:t>
            </w:r>
          </w:p>
        </w:tc>
      </w:tr>
      <w:tr w:rsidR="00F91B1E" w:rsidRPr="00453F31" w14:paraId="18A33D3E"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79399F81" w14:textId="77777777" w:rsidR="00F91B1E" w:rsidRPr="00453F31" w:rsidRDefault="00F91B1E" w:rsidP="00A3243E">
            <w:pPr>
              <w:pStyle w:val="NoSpacing"/>
              <w:jc w:val="both"/>
              <w:rPr>
                <w:rFonts w:ascii="Arial" w:eastAsia="Calibri" w:hAnsi="Arial" w:cs="Arial"/>
                <w:b/>
                <w:sz w:val="24"/>
                <w:szCs w:val="24"/>
              </w:rPr>
            </w:pPr>
            <w:r w:rsidRPr="00453F31">
              <w:rPr>
                <w:rFonts w:ascii="Arial" w:hAnsi="Arial" w:cs="Arial"/>
                <w:sz w:val="24"/>
                <w:szCs w:val="24"/>
              </w:rPr>
              <w:t xml:space="preserve"> SBI Personal Loan (erstwhile Xpress Credit)</w:t>
            </w:r>
            <w:r>
              <w:rPr>
                <w:rFonts w:ascii="Arial" w:hAnsi="Arial" w:cs="Arial"/>
                <w:sz w:val="24"/>
                <w:szCs w:val="24"/>
              </w:rPr>
              <w:t>*</w:t>
            </w:r>
          </w:p>
        </w:tc>
        <w:tc>
          <w:tcPr>
            <w:tcW w:w="7922" w:type="dxa"/>
            <w:gridSpan w:val="8"/>
            <w:tcBorders>
              <w:top w:val="single" w:sz="4" w:space="0" w:color="auto"/>
              <w:left w:val="single" w:sz="4" w:space="0" w:color="auto"/>
              <w:bottom w:val="single" w:sz="4" w:space="0" w:color="auto"/>
              <w:right w:val="single" w:sz="4" w:space="0" w:color="auto"/>
            </w:tcBorders>
          </w:tcPr>
          <w:p w14:paraId="32A9014A" w14:textId="77777777" w:rsidR="00F91B1E" w:rsidRPr="00453F31" w:rsidRDefault="00F91B1E" w:rsidP="00A3243E">
            <w:pPr>
              <w:rPr>
                <w:rFonts w:ascii="Arial" w:hAnsi="Arial" w:cs="Arial"/>
              </w:rPr>
            </w:pPr>
            <w:r w:rsidRPr="00453F31">
              <w:rPr>
                <w:rFonts w:ascii="Arial" w:hAnsi="Arial" w:cs="Arial"/>
              </w:rPr>
              <w:t>Processing Fee: 50 % concession +GST</w:t>
            </w:r>
          </w:p>
        </w:tc>
      </w:tr>
      <w:tr w:rsidR="00F91B1E" w:rsidRPr="00453F31" w14:paraId="4BFC5B9B" w14:textId="77777777" w:rsidTr="00A3243E">
        <w:trPr>
          <w:trHeight w:val="29"/>
        </w:trPr>
        <w:tc>
          <w:tcPr>
            <w:tcW w:w="2738" w:type="dxa"/>
            <w:gridSpan w:val="2"/>
            <w:tcBorders>
              <w:top w:val="single" w:sz="4" w:space="0" w:color="auto"/>
              <w:left w:val="single" w:sz="4" w:space="0" w:color="auto"/>
              <w:bottom w:val="single" w:sz="4" w:space="0" w:color="auto"/>
              <w:right w:val="single" w:sz="4" w:space="0" w:color="auto"/>
            </w:tcBorders>
          </w:tcPr>
          <w:p w14:paraId="49712055" w14:textId="77777777" w:rsidR="00F91B1E" w:rsidRPr="00453F31" w:rsidRDefault="00F91B1E" w:rsidP="00A3243E">
            <w:pPr>
              <w:pStyle w:val="NoSpacing"/>
              <w:jc w:val="both"/>
              <w:rPr>
                <w:rFonts w:ascii="Arial" w:hAnsi="Arial" w:cs="Arial"/>
                <w:sz w:val="24"/>
                <w:szCs w:val="24"/>
              </w:rPr>
            </w:pPr>
          </w:p>
        </w:tc>
        <w:tc>
          <w:tcPr>
            <w:tcW w:w="7922" w:type="dxa"/>
            <w:gridSpan w:val="8"/>
            <w:tcBorders>
              <w:top w:val="single" w:sz="4" w:space="0" w:color="auto"/>
              <w:left w:val="single" w:sz="4" w:space="0" w:color="auto"/>
              <w:bottom w:val="single" w:sz="4" w:space="0" w:color="auto"/>
              <w:right w:val="single" w:sz="4" w:space="0" w:color="auto"/>
            </w:tcBorders>
          </w:tcPr>
          <w:p w14:paraId="13F2282F" w14:textId="77777777" w:rsidR="00F91B1E" w:rsidRPr="00453F31" w:rsidRDefault="00F91B1E" w:rsidP="00A3243E">
            <w:pPr>
              <w:pStyle w:val="ListParagraph"/>
              <w:ind w:left="1080"/>
              <w:rPr>
                <w:rFonts w:ascii="Arial" w:hAnsi="Arial" w:cs="Arial"/>
              </w:rPr>
            </w:pPr>
            <w:r w:rsidRPr="00453F31">
              <w:rPr>
                <w:rFonts w:ascii="Arial" w:hAnsi="Arial" w:cs="Arial"/>
              </w:rPr>
              <w:t>*subject to revision from time to time</w:t>
            </w:r>
          </w:p>
        </w:tc>
      </w:tr>
      <w:tr w:rsidR="00F91B1E" w:rsidRPr="00453F31" w14:paraId="2E7B45DC" w14:textId="77777777" w:rsidTr="00A3243E">
        <w:trPr>
          <w:trHeight w:val="29"/>
        </w:trPr>
        <w:tc>
          <w:tcPr>
            <w:tcW w:w="10660" w:type="dxa"/>
            <w:gridSpan w:val="10"/>
            <w:tcBorders>
              <w:top w:val="single" w:sz="4" w:space="0" w:color="auto"/>
              <w:left w:val="single" w:sz="4" w:space="0" w:color="auto"/>
              <w:bottom w:val="single" w:sz="4" w:space="0" w:color="auto"/>
              <w:right w:val="single" w:sz="4" w:space="0" w:color="auto"/>
            </w:tcBorders>
          </w:tcPr>
          <w:p w14:paraId="2B531C8E" w14:textId="77777777" w:rsidR="00F91B1E" w:rsidRPr="00453F31" w:rsidRDefault="00F91B1E" w:rsidP="00A3243E">
            <w:pPr>
              <w:jc w:val="both"/>
              <w:rPr>
                <w:rFonts w:ascii="Arial" w:hAnsi="Arial" w:cs="Arial"/>
                <w:i/>
                <w:iCs/>
              </w:rPr>
            </w:pPr>
            <w:r w:rsidRPr="00453F31">
              <w:rPr>
                <w:rFonts w:ascii="Arial Narrow" w:hAnsi="Arial Narrow" w:cs="Arial"/>
                <w:b/>
              </w:rPr>
              <w:t xml:space="preserve">1.7.Super Top-up Health Insurance : </w:t>
            </w:r>
            <w:r w:rsidRPr="00453F31">
              <w:rPr>
                <w:rFonts w:ascii="Arial" w:hAnsi="Arial" w:cs="Arial"/>
                <w:sz w:val="20"/>
              </w:rPr>
              <w:t>Super Top up Health insurance Plan for (1 Adult, 2 Adult , 2 Adult + 1 Child and 2 Adult + 2 Child)  plan with Sum Insured option ₹15 lakh with ₹2 lakh deductible and ₹30 Lakh with ₹3 lakh aggregate deductible by Bajaj Allianz General Insurance Co. ltd. on individual payment basis. Premium table (including Tax) with Sum Insured and deductibles is as below (To be borne by customer ).</w:t>
            </w:r>
          </w:p>
        </w:tc>
      </w:tr>
      <w:tr w:rsidR="00F91B1E" w:rsidRPr="00453F31" w14:paraId="4542F11D" w14:textId="77777777" w:rsidTr="00A3243E">
        <w:trPr>
          <w:trHeight w:val="29"/>
        </w:trPr>
        <w:tc>
          <w:tcPr>
            <w:tcW w:w="2703" w:type="dxa"/>
            <w:vMerge w:val="restart"/>
            <w:tcBorders>
              <w:top w:val="single" w:sz="4" w:space="0" w:color="auto"/>
              <w:left w:val="single" w:sz="4" w:space="0" w:color="auto"/>
              <w:right w:val="single" w:sz="4" w:space="0" w:color="auto"/>
            </w:tcBorders>
          </w:tcPr>
          <w:p w14:paraId="4A33CD55" w14:textId="77777777" w:rsidR="00F91B1E" w:rsidRPr="00453F31" w:rsidRDefault="00F91B1E" w:rsidP="00A3243E">
            <w:pPr>
              <w:rPr>
                <w:rFonts w:ascii="Arial Narrow" w:hAnsi="Arial Narrow" w:cs="Arial"/>
                <w:b/>
              </w:rPr>
            </w:pPr>
            <w:r w:rsidRPr="00453F31">
              <w:rPr>
                <w:rFonts w:ascii="Arial Narrow" w:hAnsi="Arial Narrow" w:cs="Arial"/>
                <w:bCs/>
              </w:rPr>
              <w:t>Super Top up Health Insurance Policy</w:t>
            </w:r>
          </w:p>
        </w:tc>
        <w:tc>
          <w:tcPr>
            <w:tcW w:w="1703" w:type="dxa"/>
            <w:gridSpan w:val="2"/>
            <w:tcBorders>
              <w:top w:val="single" w:sz="4" w:space="0" w:color="auto"/>
              <w:left w:val="single" w:sz="4" w:space="0" w:color="auto"/>
              <w:bottom w:val="single" w:sz="4" w:space="0" w:color="auto"/>
              <w:right w:val="single" w:sz="4" w:space="0" w:color="auto"/>
            </w:tcBorders>
          </w:tcPr>
          <w:p w14:paraId="40590980" w14:textId="77777777" w:rsidR="00F91B1E" w:rsidRPr="00453F31" w:rsidRDefault="00F91B1E" w:rsidP="00A3243E">
            <w:pPr>
              <w:jc w:val="center"/>
              <w:rPr>
                <w:rFonts w:ascii="Arial Narrow" w:hAnsi="Arial Narrow" w:cs="Arial"/>
                <w:b/>
              </w:rPr>
            </w:pPr>
            <w:r w:rsidRPr="00453F31">
              <w:rPr>
                <w:rFonts w:ascii="Arial Narrow" w:hAnsi="Arial Narrow" w:cs="Arial"/>
                <w:b/>
                <w:bCs/>
              </w:rPr>
              <w:t>Sum Insured/ Deductible</w:t>
            </w:r>
          </w:p>
        </w:tc>
        <w:tc>
          <w:tcPr>
            <w:tcW w:w="1417" w:type="dxa"/>
            <w:tcBorders>
              <w:top w:val="single" w:sz="4" w:space="0" w:color="auto"/>
              <w:left w:val="single" w:sz="4" w:space="0" w:color="auto"/>
              <w:bottom w:val="single" w:sz="4" w:space="0" w:color="auto"/>
              <w:right w:val="single" w:sz="4" w:space="0" w:color="auto"/>
            </w:tcBorders>
          </w:tcPr>
          <w:p w14:paraId="32CE4240" w14:textId="77777777" w:rsidR="00F91B1E" w:rsidRPr="00453F31" w:rsidRDefault="00F91B1E" w:rsidP="00A3243E">
            <w:pPr>
              <w:jc w:val="center"/>
              <w:rPr>
                <w:rFonts w:ascii="Arial Narrow" w:hAnsi="Arial Narrow" w:cs="Arial"/>
                <w:b/>
              </w:rPr>
            </w:pPr>
            <w:r w:rsidRPr="00453F31">
              <w:rPr>
                <w:rFonts w:ascii="Arial Narrow" w:hAnsi="Arial Narrow" w:cs="Arial"/>
                <w:b/>
                <w:bCs/>
              </w:rPr>
              <w:t xml:space="preserve">1A </w:t>
            </w:r>
            <w:r w:rsidRPr="00453F31">
              <w:rPr>
                <w:rFonts w:ascii="Arial Narrow" w:hAnsi="Arial Narrow" w:cs="Arial"/>
                <w:sz w:val="18"/>
                <w:szCs w:val="18"/>
              </w:rPr>
              <w:t>(Premium)</w:t>
            </w:r>
          </w:p>
        </w:tc>
        <w:tc>
          <w:tcPr>
            <w:tcW w:w="1701" w:type="dxa"/>
            <w:gridSpan w:val="3"/>
            <w:tcBorders>
              <w:top w:val="single" w:sz="4" w:space="0" w:color="auto"/>
              <w:left w:val="single" w:sz="4" w:space="0" w:color="auto"/>
              <w:bottom w:val="single" w:sz="4" w:space="0" w:color="auto"/>
              <w:right w:val="single" w:sz="4" w:space="0" w:color="auto"/>
            </w:tcBorders>
          </w:tcPr>
          <w:p w14:paraId="2DD0676B" w14:textId="77777777" w:rsidR="00F91B1E" w:rsidRPr="00453F31" w:rsidRDefault="00F91B1E" w:rsidP="00A3243E">
            <w:pPr>
              <w:jc w:val="center"/>
              <w:rPr>
                <w:rFonts w:ascii="Arial Narrow" w:hAnsi="Arial Narrow" w:cs="Arial"/>
                <w:b/>
              </w:rPr>
            </w:pPr>
            <w:r w:rsidRPr="00453F31">
              <w:rPr>
                <w:rFonts w:ascii="Arial Narrow" w:hAnsi="Arial Narrow" w:cs="Arial"/>
                <w:b/>
                <w:bCs/>
              </w:rPr>
              <w:t>2A</w:t>
            </w:r>
            <w:r w:rsidRPr="00453F31">
              <w:rPr>
                <w:rFonts w:ascii="Arial Narrow" w:hAnsi="Arial Narrow" w:cs="Arial"/>
                <w:sz w:val="18"/>
                <w:szCs w:val="18"/>
              </w:rPr>
              <w:t xml:space="preserve"> (Premium)</w:t>
            </w:r>
          </w:p>
        </w:tc>
        <w:tc>
          <w:tcPr>
            <w:tcW w:w="1560" w:type="dxa"/>
            <w:tcBorders>
              <w:top w:val="single" w:sz="4" w:space="0" w:color="auto"/>
              <w:left w:val="single" w:sz="4" w:space="0" w:color="auto"/>
              <w:bottom w:val="single" w:sz="4" w:space="0" w:color="auto"/>
              <w:right w:val="single" w:sz="4" w:space="0" w:color="auto"/>
            </w:tcBorders>
          </w:tcPr>
          <w:p w14:paraId="2F1C495E" w14:textId="77777777" w:rsidR="00F91B1E" w:rsidRPr="00453F31" w:rsidRDefault="00F91B1E" w:rsidP="00A3243E">
            <w:pPr>
              <w:jc w:val="center"/>
              <w:rPr>
                <w:rFonts w:ascii="Arial Narrow" w:hAnsi="Arial Narrow" w:cs="Arial"/>
                <w:b/>
              </w:rPr>
            </w:pPr>
            <w:r w:rsidRPr="00453F31">
              <w:rPr>
                <w:rFonts w:ascii="Arial Narrow" w:hAnsi="Arial Narrow" w:cs="Arial"/>
                <w:b/>
                <w:bCs/>
              </w:rPr>
              <w:t>2A+1C</w:t>
            </w:r>
            <w:r w:rsidRPr="00453F31">
              <w:rPr>
                <w:rFonts w:ascii="Arial Narrow" w:hAnsi="Arial Narrow" w:cs="Arial"/>
                <w:sz w:val="18"/>
                <w:szCs w:val="18"/>
              </w:rPr>
              <w:t xml:space="preserve"> (Premium)</w:t>
            </w:r>
          </w:p>
        </w:tc>
        <w:tc>
          <w:tcPr>
            <w:tcW w:w="1576" w:type="dxa"/>
            <w:gridSpan w:val="2"/>
            <w:tcBorders>
              <w:top w:val="single" w:sz="4" w:space="0" w:color="auto"/>
              <w:left w:val="single" w:sz="4" w:space="0" w:color="auto"/>
              <w:bottom w:val="single" w:sz="4" w:space="0" w:color="auto"/>
              <w:right w:val="single" w:sz="4" w:space="0" w:color="auto"/>
            </w:tcBorders>
          </w:tcPr>
          <w:p w14:paraId="6B37584A" w14:textId="77777777" w:rsidR="00F91B1E" w:rsidRPr="00453F31" w:rsidRDefault="00F91B1E" w:rsidP="00A3243E">
            <w:pPr>
              <w:jc w:val="center"/>
              <w:rPr>
                <w:rFonts w:ascii="Arial Narrow" w:hAnsi="Arial Narrow" w:cs="Arial"/>
                <w:b/>
              </w:rPr>
            </w:pPr>
            <w:r w:rsidRPr="00453F31">
              <w:rPr>
                <w:rFonts w:ascii="Arial Narrow" w:hAnsi="Arial Narrow" w:cs="Arial"/>
                <w:b/>
                <w:bCs/>
              </w:rPr>
              <w:t>2A+2C</w:t>
            </w:r>
            <w:r w:rsidRPr="00453F31">
              <w:rPr>
                <w:rFonts w:ascii="Arial Narrow" w:hAnsi="Arial Narrow" w:cs="Arial"/>
                <w:sz w:val="18"/>
                <w:szCs w:val="18"/>
              </w:rPr>
              <w:t xml:space="preserve"> (Premium)</w:t>
            </w:r>
          </w:p>
        </w:tc>
      </w:tr>
      <w:tr w:rsidR="00F91B1E" w:rsidRPr="00453F31" w14:paraId="7DAEC345" w14:textId="77777777" w:rsidTr="00A3243E">
        <w:trPr>
          <w:trHeight w:val="29"/>
        </w:trPr>
        <w:tc>
          <w:tcPr>
            <w:tcW w:w="2703" w:type="dxa"/>
            <w:vMerge/>
            <w:tcBorders>
              <w:left w:val="single" w:sz="4" w:space="0" w:color="auto"/>
              <w:right w:val="single" w:sz="4" w:space="0" w:color="auto"/>
            </w:tcBorders>
          </w:tcPr>
          <w:p w14:paraId="3428C478" w14:textId="77777777" w:rsidR="00F91B1E" w:rsidRPr="00453F31" w:rsidRDefault="00F91B1E" w:rsidP="00A3243E">
            <w:pPr>
              <w:rPr>
                <w:rFonts w:ascii="Arial Narrow" w:hAnsi="Arial Narrow" w:cs="Arial"/>
                <w:b/>
              </w:rPr>
            </w:pPr>
          </w:p>
        </w:tc>
        <w:tc>
          <w:tcPr>
            <w:tcW w:w="1703" w:type="dxa"/>
            <w:gridSpan w:val="2"/>
            <w:tcBorders>
              <w:top w:val="single" w:sz="4" w:space="0" w:color="auto"/>
              <w:left w:val="single" w:sz="4" w:space="0" w:color="auto"/>
              <w:bottom w:val="single" w:sz="4" w:space="0" w:color="auto"/>
              <w:right w:val="single" w:sz="4" w:space="0" w:color="auto"/>
            </w:tcBorders>
          </w:tcPr>
          <w:p w14:paraId="1B060EC1" w14:textId="77777777" w:rsidR="00F91B1E" w:rsidRPr="00453F31" w:rsidRDefault="00F91B1E" w:rsidP="00A3243E">
            <w:pPr>
              <w:jc w:val="center"/>
              <w:rPr>
                <w:rFonts w:ascii="Arial Narrow" w:hAnsi="Arial Narrow" w:cs="Arial"/>
                <w:b/>
                <w:bCs/>
              </w:rPr>
            </w:pPr>
            <w:r w:rsidRPr="00453F31">
              <w:rPr>
                <w:rFonts w:ascii="Arial Narrow" w:hAnsi="Arial Narrow" w:cs="Arial"/>
              </w:rPr>
              <w:t>15 Lac/ 2 lac</w:t>
            </w:r>
          </w:p>
        </w:tc>
        <w:tc>
          <w:tcPr>
            <w:tcW w:w="1417" w:type="dxa"/>
            <w:tcBorders>
              <w:top w:val="single" w:sz="4" w:space="0" w:color="auto"/>
              <w:left w:val="single" w:sz="4" w:space="0" w:color="auto"/>
              <w:bottom w:val="single" w:sz="4" w:space="0" w:color="auto"/>
              <w:right w:val="single" w:sz="4" w:space="0" w:color="auto"/>
            </w:tcBorders>
          </w:tcPr>
          <w:p w14:paraId="5270CFD0"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1,623</w:t>
            </w:r>
          </w:p>
        </w:tc>
        <w:tc>
          <w:tcPr>
            <w:tcW w:w="1701" w:type="dxa"/>
            <w:gridSpan w:val="3"/>
            <w:tcBorders>
              <w:top w:val="single" w:sz="4" w:space="0" w:color="auto"/>
              <w:left w:val="single" w:sz="4" w:space="0" w:color="auto"/>
              <w:bottom w:val="single" w:sz="4" w:space="0" w:color="auto"/>
              <w:right w:val="single" w:sz="4" w:space="0" w:color="auto"/>
            </w:tcBorders>
          </w:tcPr>
          <w:p w14:paraId="4CE14643"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1,763</w:t>
            </w:r>
          </w:p>
        </w:tc>
        <w:tc>
          <w:tcPr>
            <w:tcW w:w="1560" w:type="dxa"/>
            <w:tcBorders>
              <w:top w:val="single" w:sz="4" w:space="0" w:color="auto"/>
              <w:left w:val="single" w:sz="4" w:space="0" w:color="auto"/>
              <w:bottom w:val="single" w:sz="4" w:space="0" w:color="auto"/>
              <w:right w:val="single" w:sz="4" w:space="0" w:color="auto"/>
            </w:tcBorders>
          </w:tcPr>
          <w:p w14:paraId="79516129"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1,843</w:t>
            </w:r>
          </w:p>
        </w:tc>
        <w:tc>
          <w:tcPr>
            <w:tcW w:w="1576" w:type="dxa"/>
            <w:gridSpan w:val="2"/>
            <w:tcBorders>
              <w:top w:val="single" w:sz="4" w:space="0" w:color="auto"/>
              <w:left w:val="single" w:sz="4" w:space="0" w:color="auto"/>
              <w:bottom w:val="single" w:sz="4" w:space="0" w:color="auto"/>
              <w:right w:val="single" w:sz="4" w:space="0" w:color="auto"/>
            </w:tcBorders>
          </w:tcPr>
          <w:p w14:paraId="42096685"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1,995</w:t>
            </w:r>
          </w:p>
        </w:tc>
      </w:tr>
      <w:tr w:rsidR="00F91B1E" w:rsidRPr="00453F31" w14:paraId="46BC63E1" w14:textId="77777777" w:rsidTr="00A3243E">
        <w:trPr>
          <w:trHeight w:val="29"/>
        </w:trPr>
        <w:tc>
          <w:tcPr>
            <w:tcW w:w="2703" w:type="dxa"/>
            <w:vMerge/>
            <w:tcBorders>
              <w:left w:val="single" w:sz="4" w:space="0" w:color="auto"/>
              <w:right w:val="single" w:sz="4" w:space="0" w:color="auto"/>
            </w:tcBorders>
          </w:tcPr>
          <w:p w14:paraId="34862ECB" w14:textId="77777777" w:rsidR="00F91B1E" w:rsidRPr="00453F31" w:rsidRDefault="00F91B1E" w:rsidP="00A3243E">
            <w:pPr>
              <w:rPr>
                <w:rFonts w:ascii="Arial Narrow" w:hAnsi="Arial Narrow" w:cs="Arial"/>
                <w:b/>
              </w:rPr>
            </w:pPr>
          </w:p>
        </w:tc>
        <w:tc>
          <w:tcPr>
            <w:tcW w:w="1703" w:type="dxa"/>
            <w:gridSpan w:val="2"/>
            <w:tcBorders>
              <w:top w:val="single" w:sz="4" w:space="0" w:color="auto"/>
              <w:left w:val="single" w:sz="4" w:space="0" w:color="auto"/>
              <w:bottom w:val="single" w:sz="4" w:space="0" w:color="auto"/>
              <w:right w:val="single" w:sz="4" w:space="0" w:color="auto"/>
            </w:tcBorders>
          </w:tcPr>
          <w:p w14:paraId="1ABDFDFC" w14:textId="77777777" w:rsidR="00F91B1E" w:rsidRPr="00453F31" w:rsidRDefault="00F91B1E" w:rsidP="00A3243E">
            <w:pPr>
              <w:jc w:val="center"/>
              <w:rPr>
                <w:rFonts w:ascii="Arial Narrow" w:hAnsi="Arial Narrow" w:cs="Arial"/>
              </w:rPr>
            </w:pPr>
            <w:r w:rsidRPr="00453F31">
              <w:rPr>
                <w:rFonts w:ascii="Arial Narrow" w:hAnsi="Arial Narrow" w:cs="Arial"/>
              </w:rPr>
              <w:t>30 Lac/ 3 Lac</w:t>
            </w:r>
          </w:p>
        </w:tc>
        <w:tc>
          <w:tcPr>
            <w:tcW w:w="1417" w:type="dxa"/>
            <w:tcBorders>
              <w:top w:val="single" w:sz="4" w:space="0" w:color="auto"/>
              <w:left w:val="single" w:sz="4" w:space="0" w:color="auto"/>
              <w:bottom w:val="single" w:sz="4" w:space="0" w:color="auto"/>
              <w:right w:val="single" w:sz="4" w:space="0" w:color="auto"/>
            </w:tcBorders>
          </w:tcPr>
          <w:p w14:paraId="05C57708"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2,056</w:t>
            </w:r>
          </w:p>
        </w:tc>
        <w:tc>
          <w:tcPr>
            <w:tcW w:w="1701" w:type="dxa"/>
            <w:gridSpan w:val="3"/>
            <w:tcBorders>
              <w:top w:val="single" w:sz="4" w:space="0" w:color="auto"/>
              <w:left w:val="single" w:sz="4" w:space="0" w:color="auto"/>
              <w:bottom w:val="single" w:sz="4" w:space="0" w:color="auto"/>
              <w:right w:val="single" w:sz="4" w:space="0" w:color="auto"/>
            </w:tcBorders>
          </w:tcPr>
          <w:p w14:paraId="03741027"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2,229</w:t>
            </w:r>
          </w:p>
        </w:tc>
        <w:tc>
          <w:tcPr>
            <w:tcW w:w="1560" w:type="dxa"/>
            <w:tcBorders>
              <w:top w:val="single" w:sz="4" w:space="0" w:color="auto"/>
              <w:left w:val="single" w:sz="4" w:space="0" w:color="auto"/>
              <w:bottom w:val="single" w:sz="4" w:space="0" w:color="auto"/>
              <w:right w:val="single" w:sz="4" w:space="0" w:color="auto"/>
            </w:tcBorders>
          </w:tcPr>
          <w:p w14:paraId="169C5C05"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2,332</w:t>
            </w:r>
          </w:p>
        </w:tc>
        <w:tc>
          <w:tcPr>
            <w:tcW w:w="1576" w:type="dxa"/>
            <w:gridSpan w:val="2"/>
            <w:tcBorders>
              <w:top w:val="single" w:sz="4" w:space="0" w:color="auto"/>
              <w:left w:val="single" w:sz="4" w:space="0" w:color="auto"/>
              <w:bottom w:val="single" w:sz="4" w:space="0" w:color="auto"/>
              <w:right w:val="single" w:sz="4" w:space="0" w:color="auto"/>
            </w:tcBorders>
          </w:tcPr>
          <w:p w14:paraId="0782F9F8"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2,495</w:t>
            </w:r>
          </w:p>
        </w:tc>
      </w:tr>
    </w:tbl>
    <w:p w14:paraId="44507ED6" w14:textId="77777777" w:rsidR="00F91B1E" w:rsidRPr="00453F31" w:rsidRDefault="00F91B1E" w:rsidP="00F91B1E">
      <w:pPr>
        <w:jc w:val="both"/>
        <w:rPr>
          <w:rFonts w:ascii="Arial" w:hAnsi="Arial" w:cs="Arial"/>
          <w:b/>
        </w:rPr>
      </w:pPr>
      <w:r w:rsidRPr="00453F31">
        <w:rPr>
          <w:rFonts w:ascii="Arial" w:hAnsi="Arial" w:cs="Arial"/>
          <w:b/>
        </w:rPr>
        <w:t xml:space="preserve">                    </w:t>
      </w:r>
    </w:p>
    <w:p w14:paraId="5F1EB840" w14:textId="77777777" w:rsidR="00F91B1E" w:rsidRPr="00453F31" w:rsidRDefault="00F91B1E" w:rsidP="00F91B1E">
      <w:pPr>
        <w:ind w:left="5760" w:firstLine="720"/>
        <w:jc w:val="right"/>
        <w:rPr>
          <w:rFonts w:ascii="Arial" w:hAnsi="Arial" w:cs="Arial"/>
          <w:b/>
        </w:rPr>
      </w:pPr>
    </w:p>
    <w:p w14:paraId="388F474B" w14:textId="77777777" w:rsidR="00F91B1E" w:rsidRPr="00453F31" w:rsidRDefault="00F91B1E" w:rsidP="00F91B1E">
      <w:pPr>
        <w:ind w:left="-567"/>
        <w:rPr>
          <w:rFonts w:ascii="Arial" w:hAnsi="Arial" w:cs="Arial"/>
          <w:b/>
          <w:bCs/>
          <w:i/>
          <w:iCs/>
          <w:u w:val="single"/>
        </w:rPr>
      </w:pPr>
      <w:r w:rsidRPr="00453F31">
        <w:rPr>
          <w:rFonts w:ascii="Arial" w:hAnsi="Arial" w:cs="Arial"/>
          <w:b/>
          <w:u w:val="single"/>
        </w:rPr>
        <w:t>2.FEATURES OF POLICE SALARY PACKAGE (PSP)- FOR SERVING PERSONNEL / EMPLOYEES OF</w:t>
      </w:r>
      <w:r w:rsidRPr="00453F31">
        <w:rPr>
          <w:rFonts w:ascii="Arial" w:hAnsi="Arial" w:cs="Arial"/>
        </w:rPr>
        <w:t xml:space="preserve"> </w:t>
      </w:r>
      <w:r w:rsidRPr="00453F31">
        <w:rPr>
          <w:rFonts w:ascii="Arial" w:hAnsi="Arial" w:cs="Arial"/>
          <w:b/>
          <w:bCs/>
          <w:u w:val="single"/>
        </w:rPr>
        <w:t>TAMIL NADU POLICE:</w:t>
      </w:r>
    </w:p>
    <w:p w14:paraId="6BAECC21" w14:textId="77777777" w:rsidR="00F91B1E" w:rsidRPr="00C526AB" w:rsidRDefault="00F91B1E" w:rsidP="00F91B1E">
      <w:pPr>
        <w:ind w:left="-567"/>
        <w:jc w:val="both"/>
        <w:rPr>
          <w:rFonts w:ascii="Arial" w:hAnsi="Arial" w:cs="Arial"/>
        </w:rPr>
      </w:pPr>
      <w:r w:rsidRPr="00453F31">
        <w:rPr>
          <w:rFonts w:ascii="Arial" w:hAnsi="Arial" w:cs="Arial"/>
          <w:bCs/>
        </w:rPr>
        <w:t xml:space="preserve">2.1. Eligibility for PSP: </w:t>
      </w:r>
      <w:r w:rsidRPr="00453F31">
        <w:rPr>
          <w:rFonts w:ascii="Arial" w:hAnsi="Arial" w:cs="Arial"/>
        </w:rPr>
        <w:t xml:space="preserve">Regular and Permanent Police personnel of </w:t>
      </w:r>
      <w:r>
        <w:rPr>
          <w:rFonts w:ascii="Arial" w:hAnsi="Arial" w:cs="Arial"/>
        </w:rPr>
        <w:t>Tamil Nadu Police and permanent employees of</w:t>
      </w:r>
      <w:r w:rsidRPr="00453F31">
        <w:rPr>
          <w:rFonts w:ascii="Arial" w:hAnsi="Arial" w:cs="Arial"/>
        </w:rPr>
        <w:t xml:space="preserve"> Home Guards </w:t>
      </w:r>
      <w:r>
        <w:rPr>
          <w:rFonts w:ascii="Arial" w:hAnsi="Arial" w:cs="Arial"/>
        </w:rPr>
        <w:t>(</w:t>
      </w:r>
      <w:r w:rsidRPr="00453F31">
        <w:rPr>
          <w:rFonts w:ascii="Arial" w:hAnsi="Arial" w:cs="Arial"/>
          <w:b/>
          <w:bCs/>
        </w:rPr>
        <w:t>except PSP</w:t>
      </w:r>
      <w:r>
        <w:rPr>
          <w:rFonts w:ascii="Arial" w:hAnsi="Arial" w:cs="Arial"/>
          <w:b/>
          <w:bCs/>
        </w:rPr>
        <w:t>-</w:t>
      </w:r>
      <w:r w:rsidRPr="00453F31">
        <w:rPr>
          <w:rFonts w:ascii="Arial" w:hAnsi="Arial" w:cs="Arial"/>
          <w:b/>
          <w:bCs/>
        </w:rPr>
        <w:t>Silver</w:t>
      </w:r>
      <w:r>
        <w:rPr>
          <w:rFonts w:ascii="Arial" w:hAnsi="Arial" w:cs="Arial"/>
          <w:b/>
          <w:bCs/>
        </w:rPr>
        <w:t>-</w:t>
      </w:r>
      <w:proofErr w:type="spellStart"/>
      <w:r w:rsidRPr="00453F31">
        <w:rPr>
          <w:rFonts w:ascii="Arial" w:hAnsi="Arial" w:cs="Arial"/>
          <w:b/>
          <w:bCs/>
        </w:rPr>
        <w:t>Homeguard</w:t>
      </w:r>
      <w:proofErr w:type="spellEnd"/>
      <w:r>
        <w:rPr>
          <w:rFonts w:ascii="Arial" w:hAnsi="Arial" w:cs="Arial"/>
          <w:b/>
          <w:bCs/>
        </w:rPr>
        <w:t xml:space="preserve">, </w:t>
      </w:r>
      <w:r>
        <w:rPr>
          <w:rFonts w:ascii="Arial" w:hAnsi="Arial" w:cs="Arial"/>
        </w:rPr>
        <w:t xml:space="preserve">offered to non-permanent Jawans of </w:t>
      </w:r>
      <w:proofErr w:type="spellStart"/>
      <w:r>
        <w:rPr>
          <w:rFonts w:ascii="Arial" w:hAnsi="Arial" w:cs="Arial"/>
        </w:rPr>
        <w:t>Homeguard</w:t>
      </w:r>
      <w:proofErr w:type="spellEnd"/>
      <w:r>
        <w:rPr>
          <w:rFonts w:ascii="Arial" w:hAnsi="Arial" w:cs="Arial"/>
        </w:rPr>
        <w:t>).</w:t>
      </w:r>
    </w:p>
    <w:tbl>
      <w:tblPr>
        <w:tblW w:w="106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929"/>
        <w:gridCol w:w="36"/>
        <w:gridCol w:w="812"/>
        <w:gridCol w:w="569"/>
        <w:gridCol w:w="130"/>
        <w:gridCol w:w="9"/>
        <w:gridCol w:w="1069"/>
        <w:gridCol w:w="352"/>
        <w:gridCol w:w="141"/>
        <w:gridCol w:w="1283"/>
        <w:gridCol w:w="277"/>
        <w:gridCol w:w="23"/>
        <w:gridCol w:w="64"/>
        <w:gridCol w:w="1413"/>
        <w:gridCol w:w="201"/>
        <w:gridCol w:w="96"/>
        <w:gridCol w:w="1480"/>
      </w:tblGrid>
      <w:tr w:rsidR="00F91B1E" w:rsidRPr="00453F31" w14:paraId="1782DBA7" w14:textId="77777777" w:rsidTr="00A3243E">
        <w:trPr>
          <w:trHeight w:val="441"/>
        </w:trPr>
        <w:tc>
          <w:tcPr>
            <w:tcW w:w="2741" w:type="dxa"/>
            <w:gridSpan w:val="3"/>
            <w:tcBorders>
              <w:top w:val="single" w:sz="4" w:space="0" w:color="auto"/>
              <w:left w:val="single" w:sz="4" w:space="0" w:color="auto"/>
              <w:bottom w:val="single" w:sz="4" w:space="0" w:color="auto"/>
              <w:right w:val="single" w:sz="4" w:space="0" w:color="auto"/>
            </w:tcBorders>
            <w:hideMark/>
          </w:tcPr>
          <w:p w14:paraId="2BD9FD8F" w14:textId="77777777" w:rsidR="00F91B1E" w:rsidRPr="00453F31" w:rsidRDefault="00F91B1E" w:rsidP="00A3243E">
            <w:pPr>
              <w:rPr>
                <w:rFonts w:ascii="Arial" w:eastAsia="Calibri" w:hAnsi="Arial" w:cs="Arial"/>
                <w:b/>
                <w:bCs/>
              </w:rPr>
            </w:pPr>
            <w:r w:rsidRPr="00453F31">
              <w:rPr>
                <w:rFonts w:ascii="Arial" w:eastAsia="Calibri" w:hAnsi="Arial" w:cs="Arial"/>
              </w:rPr>
              <w:br w:type="page"/>
            </w:r>
            <w:r w:rsidRPr="00453F31">
              <w:rPr>
                <w:rFonts w:ascii="Arial" w:eastAsia="Calibri" w:hAnsi="Arial" w:cs="Arial"/>
              </w:rPr>
              <w:br w:type="page"/>
              <w:t xml:space="preserve">2.2. </w:t>
            </w:r>
            <w:r w:rsidRPr="00453F31">
              <w:rPr>
                <w:rFonts w:ascii="Arial" w:eastAsia="Calibri" w:hAnsi="Arial" w:cs="Arial"/>
                <w:b/>
                <w:bCs/>
              </w:rPr>
              <w:t>Variants with associated features</w:t>
            </w:r>
          </w:p>
        </w:tc>
        <w:tc>
          <w:tcPr>
            <w:tcW w:w="1511" w:type="dxa"/>
            <w:gridSpan w:val="3"/>
            <w:tcBorders>
              <w:top w:val="single" w:sz="4" w:space="0" w:color="auto"/>
              <w:left w:val="single" w:sz="4" w:space="0" w:color="auto"/>
              <w:bottom w:val="single" w:sz="4" w:space="0" w:color="auto"/>
              <w:right w:val="single" w:sz="4" w:space="0" w:color="auto"/>
            </w:tcBorders>
            <w:hideMark/>
          </w:tcPr>
          <w:p w14:paraId="64E11C42"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Silver</w:t>
            </w:r>
          </w:p>
        </w:tc>
        <w:tc>
          <w:tcPr>
            <w:tcW w:w="1571" w:type="dxa"/>
            <w:gridSpan w:val="4"/>
            <w:tcBorders>
              <w:top w:val="single" w:sz="4" w:space="0" w:color="auto"/>
              <w:left w:val="single" w:sz="4" w:space="0" w:color="auto"/>
              <w:bottom w:val="single" w:sz="4" w:space="0" w:color="auto"/>
              <w:right w:val="single" w:sz="4" w:space="0" w:color="auto"/>
            </w:tcBorders>
          </w:tcPr>
          <w:p w14:paraId="2B05EA7E"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Gold</w:t>
            </w:r>
          </w:p>
        </w:tc>
        <w:tc>
          <w:tcPr>
            <w:tcW w:w="1647" w:type="dxa"/>
            <w:gridSpan w:val="4"/>
            <w:tcBorders>
              <w:top w:val="single" w:sz="4" w:space="0" w:color="auto"/>
              <w:left w:val="single" w:sz="4" w:space="0" w:color="auto"/>
              <w:bottom w:val="single" w:sz="4" w:space="0" w:color="auto"/>
              <w:right w:val="single" w:sz="4" w:space="0" w:color="auto"/>
            </w:tcBorders>
            <w:hideMark/>
          </w:tcPr>
          <w:p w14:paraId="1D01A770"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Diamond</w:t>
            </w:r>
          </w:p>
        </w:tc>
        <w:tc>
          <w:tcPr>
            <w:tcW w:w="1710" w:type="dxa"/>
            <w:gridSpan w:val="3"/>
            <w:tcBorders>
              <w:top w:val="single" w:sz="4" w:space="0" w:color="auto"/>
              <w:left w:val="single" w:sz="4" w:space="0" w:color="auto"/>
              <w:bottom w:val="single" w:sz="4" w:space="0" w:color="auto"/>
              <w:right w:val="single" w:sz="4" w:space="0" w:color="auto"/>
            </w:tcBorders>
            <w:hideMark/>
          </w:tcPr>
          <w:p w14:paraId="638127FC"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Platinum</w:t>
            </w:r>
          </w:p>
        </w:tc>
        <w:tc>
          <w:tcPr>
            <w:tcW w:w="1480" w:type="dxa"/>
            <w:tcBorders>
              <w:top w:val="single" w:sz="4" w:space="0" w:color="auto"/>
              <w:left w:val="single" w:sz="4" w:space="0" w:color="auto"/>
              <w:bottom w:val="single" w:sz="4" w:space="0" w:color="auto"/>
              <w:right w:val="single" w:sz="4" w:space="0" w:color="auto"/>
            </w:tcBorders>
          </w:tcPr>
          <w:p w14:paraId="6CE7E681" w14:textId="77777777" w:rsidR="00F91B1E" w:rsidRPr="00453F31" w:rsidRDefault="00F91B1E" w:rsidP="00A3243E">
            <w:pPr>
              <w:jc w:val="center"/>
              <w:rPr>
                <w:rFonts w:ascii="Arial" w:eastAsia="Calibri" w:hAnsi="Arial" w:cs="Arial"/>
                <w:b/>
                <w:iCs/>
              </w:rPr>
            </w:pPr>
            <w:r w:rsidRPr="00453F31">
              <w:rPr>
                <w:rFonts w:ascii="Arial" w:eastAsia="Calibri" w:hAnsi="Arial" w:cs="Arial"/>
                <w:b/>
                <w:iCs/>
              </w:rPr>
              <w:t>Rhodium</w:t>
            </w:r>
          </w:p>
        </w:tc>
      </w:tr>
      <w:tr w:rsidR="00F91B1E" w:rsidRPr="00453F31" w14:paraId="66320D48" w14:textId="77777777" w:rsidTr="00A3243E">
        <w:trPr>
          <w:trHeight w:val="287"/>
        </w:trPr>
        <w:tc>
          <w:tcPr>
            <w:tcW w:w="2741" w:type="dxa"/>
            <w:gridSpan w:val="3"/>
            <w:tcBorders>
              <w:top w:val="single" w:sz="4" w:space="0" w:color="auto"/>
              <w:left w:val="single" w:sz="4" w:space="0" w:color="auto"/>
              <w:bottom w:val="single" w:sz="4" w:space="0" w:color="auto"/>
              <w:right w:val="single" w:sz="4" w:space="0" w:color="auto"/>
            </w:tcBorders>
          </w:tcPr>
          <w:p w14:paraId="123141A7" w14:textId="77777777" w:rsidR="00F91B1E" w:rsidRPr="00453F31" w:rsidRDefault="00F91B1E" w:rsidP="00A3243E">
            <w:pPr>
              <w:rPr>
                <w:rFonts w:ascii="Arial" w:eastAsia="Calibri" w:hAnsi="Arial" w:cs="Arial"/>
                <w:b/>
                <w:bCs/>
              </w:rPr>
            </w:pPr>
            <w:r w:rsidRPr="00453F31">
              <w:rPr>
                <w:rFonts w:ascii="Arial" w:eastAsia="Calibri" w:hAnsi="Arial" w:cs="Arial"/>
                <w:b/>
                <w:bCs/>
              </w:rPr>
              <w:t xml:space="preserve">Eligibility </w:t>
            </w:r>
            <w:r w:rsidRPr="00453F31">
              <w:rPr>
                <w:rFonts w:ascii="Arial" w:eastAsia="Calibri" w:hAnsi="Arial" w:cs="Arial"/>
              </w:rPr>
              <w:t>(net monthly salary credit in Rs.)</w:t>
            </w:r>
          </w:p>
        </w:tc>
        <w:tc>
          <w:tcPr>
            <w:tcW w:w="1511" w:type="dxa"/>
            <w:gridSpan w:val="3"/>
            <w:tcBorders>
              <w:top w:val="single" w:sz="4" w:space="0" w:color="auto"/>
              <w:left w:val="single" w:sz="4" w:space="0" w:color="auto"/>
              <w:bottom w:val="single" w:sz="4" w:space="0" w:color="auto"/>
              <w:right w:val="single" w:sz="4" w:space="0" w:color="auto"/>
            </w:tcBorders>
          </w:tcPr>
          <w:p w14:paraId="06B06F0D"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&gt;₹10,000/- to ₹25,000/-</w:t>
            </w:r>
          </w:p>
        </w:tc>
        <w:tc>
          <w:tcPr>
            <w:tcW w:w="1571" w:type="dxa"/>
            <w:gridSpan w:val="4"/>
            <w:tcBorders>
              <w:top w:val="single" w:sz="4" w:space="0" w:color="auto"/>
              <w:left w:val="single" w:sz="4" w:space="0" w:color="auto"/>
              <w:bottom w:val="single" w:sz="4" w:space="0" w:color="auto"/>
              <w:right w:val="single" w:sz="4" w:space="0" w:color="auto"/>
            </w:tcBorders>
          </w:tcPr>
          <w:p w14:paraId="39A0EEDC"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&gt;₹25,000/- to ₹50,000/-</w:t>
            </w:r>
          </w:p>
        </w:tc>
        <w:tc>
          <w:tcPr>
            <w:tcW w:w="1647" w:type="dxa"/>
            <w:gridSpan w:val="4"/>
            <w:tcBorders>
              <w:top w:val="single" w:sz="4" w:space="0" w:color="auto"/>
              <w:left w:val="single" w:sz="4" w:space="0" w:color="auto"/>
              <w:bottom w:val="single" w:sz="4" w:space="0" w:color="auto"/>
              <w:right w:val="single" w:sz="4" w:space="0" w:color="auto"/>
            </w:tcBorders>
          </w:tcPr>
          <w:p w14:paraId="6DF83D0B" w14:textId="77777777" w:rsidR="00F91B1E" w:rsidRPr="00453F31" w:rsidRDefault="00F91B1E" w:rsidP="00A3243E">
            <w:pPr>
              <w:jc w:val="center"/>
              <w:rPr>
                <w:rFonts w:ascii="Arial" w:eastAsia="Calibri" w:hAnsi="Arial" w:cs="Arial"/>
                <w:b/>
                <w:iCs/>
              </w:rPr>
            </w:pPr>
            <w:r w:rsidRPr="00453F31">
              <w:rPr>
                <w:rFonts w:ascii="Arial" w:hAnsi="Arial" w:cs="Arial"/>
              </w:rPr>
              <w:t>&gt;₹50,000/- to ₹1 lakh</w:t>
            </w:r>
          </w:p>
        </w:tc>
        <w:tc>
          <w:tcPr>
            <w:tcW w:w="1710" w:type="dxa"/>
            <w:gridSpan w:val="3"/>
            <w:tcBorders>
              <w:top w:val="single" w:sz="4" w:space="0" w:color="auto"/>
              <w:left w:val="single" w:sz="4" w:space="0" w:color="auto"/>
              <w:bottom w:val="single" w:sz="4" w:space="0" w:color="auto"/>
              <w:right w:val="single" w:sz="4" w:space="0" w:color="auto"/>
            </w:tcBorders>
          </w:tcPr>
          <w:p w14:paraId="674AC801" w14:textId="77777777" w:rsidR="00F91B1E" w:rsidRPr="00453F31" w:rsidRDefault="00F91B1E" w:rsidP="00A3243E">
            <w:pPr>
              <w:pStyle w:val="NoSpacing"/>
              <w:jc w:val="center"/>
              <w:rPr>
                <w:rFonts w:ascii="Arial" w:eastAsia="Calibri" w:hAnsi="Arial" w:cs="Arial"/>
                <w:b/>
                <w:iCs/>
              </w:rPr>
            </w:pPr>
            <w:r w:rsidRPr="00453F31">
              <w:rPr>
                <w:rFonts w:ascii="Arial" w:hAnsi="Arial" w:cs="Arial"/>
              </w:rPr>
              <w:t>&gt;₹1 lakh to ₹2 lakh</w:t>
            </w:r>
          </w:p>
        </w:tc>
        <w:tc>
          <w:tcPr>
            <w:tcW w:w="1480" w:type="dxa"/>
            <w:tcBorders>
              <w:top w:val="single" w:sz="4" w:space="0" w:color="auto"/>
              <w:left w:val="single" w:sz="4" w:space="0" w:color="auto"/>
              <w:bottom w:val="single" w:sz="4" w:space="0" w:color="auto"/>
              <w:right w:val="single" w:sz="4" w:space="0" w:color="auto"/>
            </w:tcBorders>
          </w:tcPr>
          <w:p w14:paraId="3AE7B5B1" w14:textId="77777777" w:rsidR="00F91B1E" w:rsidRPr="00453F31" w:rsidRDefault="00F91B1E" w:rsidP="00A3243E">
            <w:pPr>
              <w:pStyle w:val="NoSpacing"/>
              <w:jc w:val="center"/>
              <w:rPr>
                <w:rFonts w:ascii="Arial" w:eastAsia="Calibri" w:hAnsi="Arial" w:cs="Arial"/>
                <w:iCs/>
              </w:rPr>
            </w:pPr>
            <w:r w:rsidRPr="00453F31">
              <w:rPr>
                <w:rFonts w:ascii="Arial" w:hAnsi="Arial" w:cs="Arial"/>
              </w:rPr>
              <w:t>&gt;₹2 lakh</w:t>
            </w:r>
          </w:p>
        </w:tc>
      </w:tr>
      <w:tr w:rsidR="00F91B1E" w:rsidRPr="00453F31" w14:paraId="15B8FB93" w14:textId="77777777" w:rsidTr="00A3243E">
        <w:trPr>
          <w:trHeight w:val="59"/>
        </w:trPr>
        <w:tc>
          <w:tcPr>
            <w:tcW w:w="2741" w:type="dxa"/>
            <w:gridSpan w:val="3"/>
            <w:tcBorders>
              <w:top w:val="single" w:sz="4" w:space="0" w:color="auto"/>
              <w:left w:val="single" w:sz="4" w:space="0" w:color="auto"/>
              <w:bottom w:val="single" w:sz="4" w:space="0" w:color="auto"/>
              <w:right w:val="single" w:sz="4" w:space="0" w:color="auto"/>
            </w:tcBorders>
            <w:hideMark/>
          </w:tcPr>
          <w:p w14:paraId="29347606"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 xml:space="preserve">Min. Balance </w:t>
            </w:r>
          </w:p>
        </w:tc>
        <w:tc>
          <w:tcPr>
            <w:tcW w:w="7919" w:type="dxa"/>
            <w:gridSpan w:val="15"/>
            <w:tcBorders>
              <w:top w:val="single" w:sz="4" w:space="0" w:color="auto"/>
              <w:left w:val="single" w:sz="4" w:space="0" w:color="auto"/>
              <w:bottom w:val="single" w:sz="4" w:space="0" w:color="auto"/>
              <w:right w:val="single" w:sz="4" w:space="0" w:color="auto"/>
            </w:tcBorders>
            <w:vAlign w:val="center"/>
          </w:tcPr>
          <w:p w14:paraId="5CA0891D" w14:textId="77777777" w:rsidR="00F91B1E" w:rsidRPr="00453F31" w:rsidRDefault="00F91B1E" w:rsidP="00A3243E">
            <w:pPr>
              <w:pStyle w:val="NoSpacing"/>
              <w:jc w:val="center"/>
              <w:rPr>
                <w:rFonts w:ascii="Arial" w:eastAsia="Calibri" w:hAnsi="Arial" w:cs="Arial"/>
                <w:i/>
                <w:sz w:val="24"/>
                <w:szCs w:val="24"/>
              </w:rPr>
            </w:pPr>
            <w:r w:rsidRPr="00453F31">
              <w:rPr>
                <w:rFonts w:ascii="Arial" w:hAnsi="Arial" w:cs="Arial"/>
                <w:bCs/>
                <w:sz w:val="24"/>
                <w:szCs w:val="24"/>
              </w:rPr>
              <w:t>Nil (No minimum balance required to be maintained)</w:t>
            </w:r>
          </w:p>
        </w:tc>
      </w:tr>
      <w:tr w:rsidR="00F91B1E" w:rsidRPr="00453F31" w14:paraId="60DE9BE7" w14:textId="77777777" w:rsidTr="00A3243E">
        <w:trPr>
          <w:trHeight w:val="59"/>
        </w:trPr>
        <w:tc>
          <w:tcPr>
            <w:tcW w:w="2741" w:type="dxa"/>
            <w:gridSpan w:val="3"/>
            <w:tcBorders>
              <w:top w:val="single" w:sz="4" w:space="0" w:color="auto"/>
              <w:left w:val="single" w:sz="4" w:space="0" w:color="auto"/>
              <w:bottom w:val="single" w:sz="4" w:space="0" w:color="auto"/>
              <w:right w:val="single" w:sz="4" w:space="0" w:color="auto"/>
            </w:tcBorders>
          </w:tcPr>
          <w:p w14:paraId="7497E84D"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iCs/>
                <w:sz w:val="24"/>
                <w:szCs w:val="24"/>
              </w:rPr>
              <w:t>Passbook</w:t>
            </w:r>
          </w:p>
        </w:tc>
        <w:tc>
          <w:tcPr>
            <w:tcW w:w="7919" w:type="dxa"/>
            <w:gridSpan w:val="15"/>
            <w:tcBorders>
              <w:top w:val="single" w:sz="4" w:space="0" w:color="auto"/>
              <w:left w:val="single" w:sz="4" w:space="0" w:color="auto"/>
              <w:bottom w:val="single" w:sz="4" w:space="0" w:color="auto"/>
              <w:right w:val="single" w:sz="4" w:space="0" w:color="auto"/>
            </w:tcBorders>
          </w:tcPr>
          <w:p w14:paraId="02B7D121" w14:textId="77777777" w:rsidR="00F91B1E" w:rsidRPr="00453F31" w:rsidRDefault="00F91B1E" w:rsidP="00A3243E">
            <w:pPr>
              <w:pStyle w:val="NoSpacing"/>
              <w:jc w:val="center"/>
              <w:rPr>
                <w:rFonts w:ascii="Arial" w:eastAsia="Calibri" w:hAnsi="Arial" w:cs="Arial"/>
                <w:i/>
                <w:sz w:val="24"/>
                <w:szCs w:val="24"/>
              </w:rPr>
            </w:pPr>
            <w:r w:rsidRPr="00453F31">
              <w:rPr>
                <w:rFonts w:ascii="Arial" w:hAnsi="Arial" w:cs="Arial"/>
                <w:bCs/>
                <w:sz w:val="24"/>
                <w:szCs w:val="24"/>
              </w:rPr>
              <w:t>Available for all accounts</w:t>
            </w:r>
          </w:p>
        </w:tc>
      </w:tr>
      <w:tr w:rsidR="00F91B1E" w:rsidRPr="00453F31" w14:paraId="0C0A01C6" w14:textId="77777777" w:rsidTr="00A3243E">
        <w:trPr>
          <w:trHeight w:val="59"/>
        </w:trPr>
        <w:tc>
          <w:tcPr>
            <w:tcW w:w="2741" w:type="dxa"/>
            <w:gridSpan w:val="3"/>
            <w:tcBorders>
              <w:top w:val="single" w:sz="4" w:space="0" w:color="auto"/>
              <w:left w:val="single" w:sz="4" w:space="0" w:color="auto"/>
              <w:bottom w:val="single" w:sz="4" w:space="0" w:color="auto"/>
              <w:right w:val="single" w:sz="4" w:space="0" w:color="auto"/>
            </w:tcBorders>
          </w:tcPr>
          <w:p w14:paraId="570FE09C"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Internet Banking</w:t>
            </w:r>
          </w:p>
        </w:tc>
        <w:tc>
          <w:tcPr>
            <w:tcW w:w="7919" w:type="dxa"/>
            <w:gridSpan w:val="15"/>
            <w:tcBorders>
              <w:top w:val="single" w:sz="4" w:space="0" w:color="auto"/>
              <w:left w:val="single" w:sz="4" w:space="0" w:color="auto"/>
              <w:bottom w:val="single" w:sz="4" w:space="0" w:color="auto"/>
              <w:right w:val="single" w:sz="4" w:space="0" w:color="auto"/>
            </w:tcBorders>
            <w:vAlign w:val="center"/>
          </w:tcPr>
          <w:p w14:paraId="17289C89" w14:textId="77777777" w:rsidR="00F91B1E" w:rsidRPr="00453F31" w:rsidRDefault="00F91B1E" w:rsidP="00A3243E">
            <w:pPr>
              <w:pStyle w:val="NoSpacing"/>
              <w:ind w:left="720"/>
              <w:jc w:val="center"/>
              <w:rPr>
                <w:rFonts w:ascii="Arial" w:eastAsia="Calibri" w:hAnsi="Arial" w:cs="Arial"/>
                <w:iCs/>
                <w:sz w:val="24"/>
                <w:szCs w:val="24"/>
              </w:rPr>
            </w:pPr>
            <w:r w:rsidRPr="00453F31">
              <w:rPr>
                <w:rFonts w:ascii="Arial" w:hAnsi="Arial" w:cs="Arial"/>
                <w:bCs/>
                <w:sz w:val="24"/>
                <w:szCs w:val="24"/>
              </w:rPr>
              <w:t>Free facility from SBI, Charges applicable to third party sites</w:t>
            </w:r>
          </w:p>
        </w:tc>
      </w:tr>
      <w:tr w:rsidR="00F91B1E" w:rsidRPr="00453F31" w14:paraId="0A4122A1" w14:textId="77777777" w:rsidTr="00A3243E">
        <w:trPr>
          <w:trHeight w:val="59"/>
        </w:trPr>
        <w:tc>
          <w:tcPr>
            <w:tcW w:w="2741" w:type="dxa"/>
            <w:gridSpan w:val="3"/>
            <w:tcBorders>
              <w:top w:val="single" w:sz="4" w:space="0" w:color="auto"/>
              <w:left w:val="single" w:sz="4" w:space="0" w:color="auto"/>
              <w:bottom w:val="single" w:sz="4" w:space="0" w:color="auto"/>
              <w:right w:val="single" w:sz="4" w:space="0" w:color="auto"/>
            </w:tcBorders>
          </w:tcPr>
          <w:p w14:paraId="76F2BFC6"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Auto Sweep Facility</w:t>
            </w:r>
          </w:p>
          <w:p w14:paraId="59B40DA2"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(Available only on Customers request)</w:t>
            </w:r>
          </w:p>
        </w:tc>
        <w:tc>
          <w:tcPr>
            <w:tcW w:w="7919" w:type="dxa"/>
            <w:gridSpan w:val="15"/>
            <w:tcBorders>
              <w:top w:val="single" w:sz="4" w:space="0" w:color="auto"/>
              <w:left w:val="single" w:sz="4" w:space="0" w:color="auto"/>
              <w:bottom w:val="single" w:sz="4" w:space="0" w:color="auto"/>
              <w:right w:val="single" w:sz="4" w:space="0" w:color="auto"/>
            </w:tcBorders>
          </w:tcPr>
          <w:p w14:paraId="6B7BDFAF"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Available – Threshold Amount: Rs.35000/-, TDRs/STDRs to be created for a minimum amount of Rs.10000/- (and in multiples of Rs.1,000/-) in any one instance</w:t>
            </w:r>
          </w:p>
        </w:tc>
      </w:tr>
      <w:tr w:rsidR="00F91B1E" w:rsidRPr="00453F31" w14:paraId="510D8947" w14:textId="77777777" w:rsidTr="00A3243E">
        <w:trPr>
          <w:trHeight w:val="55"/>
        </w:trPr>
        <w:tc>
          <w:tcPr>
            <w:tcW w:w="2741" w:type="dxa"/>
            <w:gridSpan w:val="3"/>
            <w:tcBorders>
              <w:top w:val="single" w:sz="4" w:space="0" w:color="auto"/>
              <w:left w:val="single" w:sz="4" w:space="0" w:color="auto"/>
              <w:right w:val="single" w:sz="4" w:space="0" w:color="auto"/>
            </w:tcBorders>
          </w:tcPr>
          <w:p w14:paraId="7FDA3D3F"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ATM cum Debit Card</w:t>
            </w:r>
          </w:p>
        </w:tc>
        <w:tc>
          <w:tcPr>
            <w:tcW w:w="1520" w:type="dxa"/>
            <w:gridSpan w:val="4"/>
            <w:tcBorders>
              <w:top w:val="single" w:sz="4" w:space="0" w:color="auto"/>
              <w:left w:val="single" w:sz="4" w:space="0" w:color="auto"/>
              <w:bottom w:val="single" w:sz="4" w:space="0" w:color="auto"/>
              <w:right w:val="single" w:sz="4" w:space="0" w:color="auto"/>
            </w:tcBorders>
          </w:tcPr>
          <w:p w14:paraId="726C9404"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Domestic Classic Debit Card</w:t>
            </w:r>
          </w:p>
        </w:tc>
        <w:tc>
          <w:tcPr>
            <w:tcW w:w="3145" w:type="dxa"/>
            <w:gridSpan w:val="6"/>
            <w:tcBorders>
              <w:top w:val="single" w:sz="4" w:space="0" w:color="auto"/>
              <w:left w:val="single" w:sz="4" w:space="0" w:color="auto"/>
              <w:bottom w:val="single" w:sz="4" w:space="0" w:color="auto"/>
              <w:right w:val="single" w:sz="4" w:space="0" w:color="auto"/>
            </w:tcBorders>
          </w:tcPr>
          <w:p w14:paraId="4A7760A7"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International Gold Debit Card</w:t>
            </w:r>
          </w:p>
        </w:tc>
        <w:tc>
          <w:tcPr>
            <w:tcW w:w="3254" w:type="dxa"/>
            <w:gridSpan w:val="5"/>
            <w:tcBorders>
              <w:top w:val="single" w:sz="4" w:space="0" w:color="auto"/>
              <w:left w:val="single" w:sz="4" w:space="0" w:color="auto"/>
              <w:bottom w:val="single" w:sz="4" w:space="0" w:color="auto"/>
              <w:right w:val="single" w:sz="4" w:space="0" w:color="auto"/>
            </w:tcBorders>
          </w:tcPr>
          <w:p w14:paraId="60C3C29A"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Free, International Platinum Debit Card</w:t>
            </w:r>
          </w:p>
        </w:tc>
      </w:tr>
      <w:tr w:rsidR="00F91B1E" w:rsidRPr="00453F31" w14:paraId="797FF6BC" w14:textId="77777777" w:rsidTr="00A3243E">
        <w:trPr>
          <w:trHeight w:val="55"/>
        </w:trPr>
        <w:tc>
          <w:tcPr>
            <w:tcW w:w="2741" w:type="dxa"/>
            <w:gridSpan w:val="3"/>
            <w:tcBorders>
              <w:top w:val="single" w:sz="4" w:space="0" w:color="auto"/>
              <w:left w:val="single" w:sz="4" w:space="0" w:color="auto"/>
              <w:right w:val="single" w:sz="4" w:space="0" w:color="auto"/>
            </w:tcBorders>
          </w:tcPr>
          <w:p w14:paraId="0F5841E3"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 xml:space="preserve">New Age </w:t>
            </w:r>
            <w:proofErr w:type="spellStart"/>
            <w:r w:rsidRPr="00453F31">
              <w:rPr>
                <w:rFonts w:ascii="Arial" w:eastAsia="Calibri" w:hAnsi="Arial" w:cs="Arial"/>
                <w:bCs/>
                <w:iCs/>
                <w:sz w:val="24"/>
                <w:szCs w:val="24"/>
              </w:rPr>
              <w:t>Rupay</w:t>
            </w:r>
            <w:proofErr w:type="spellEnd"/>
            <w:r w:rsidRPr="00453F31">
              <w:rPr>
                <w:rFonts w:ascii="Arial" w:eastAsia="Calibri" w:hAnsi="Arial" w:cs="Arial"/>
                <w:bCs/>
                <w:iCs/>
                <w:sz w:val="24"/>
                <w:szCs w:val="24"/>
              </w:rPr>
              <w:t xml:space="preserve"> Card</w:t>
            </w:r>
          </w:p>
        </w:tc>
        <w:tc>
          <w:tcPr>
            <w:tcW w:w="4665" w:type="dxa"/>
            <w:gridSpan w:val="10"/>
            <w:tcBorders>
              <w:top w:val="single" w:sz="4" w:space="0" w:color="auto"/>
              <w:left w:val="single" w:sz="4" w:space="0" w:color="auto"/>
              <w:bottom w:val="single" w:sz="4" w:space="0" w:color="auto"/>
              <w:right w:val="single" w:sz="4" w:space="0" w:color="auto"/>
            </w:tcBorders>
          </w:tcPr>
          <w:p w14:paraId="47E453D1" w14:textId="77777777" w:rsidR="00F91B1E" w:rsidRPr="00453F31" w:rsidRDefault="00F91B1E" w:rsidP="00A3243E">
            <w:pPr>
              <w:pStyle w:val="NoSpacing"/>
              <w:jc w:val="center"/>
              <w:rPr>
                <w:rFonts w:ascii="Arial" w:eastAsia="Calibri" w:hAnsi="Arial" w:cs="Arial"/>
                <w:iCs/>
                <w:sz w:val="24"/>
                <w:szCs w:val="24"/>
              </w:rPr>
            </w:pPr>
            <w:proofErr w:type="spellStart"/>
            <w:r w:rsidRPr="00453F31">
              <w:rPr>
                <w:rFonts w:ascii="Arial" w:eastAsia="Calibri" w:hAnsi="Arial" w:cs="Arial"/>
                <w:iCs/>
                <w:sz w:val="24"/>
                <w:szCs w:val="24"/>
              </w:rPr>
              <w:t>Rupay</w:t>
            </w:r>
            <w:proofErr w:type="spellEnd"/>
            <w:r w:rsidRPr="00453F31">
              <w:rPr>
                <w:rFonts w:ascii="Arial" w:eastAsia="Calibri" w:hAnsi="Arial" w:cs="Arial"/>
                <w:iCs/>
                <w:sz w:val="24"/>
                <w:szCs w:val="24"/>
              </w:rPr>
              <w:t xml:space="preserve"> Platinum Debit Card</w:t>
            </w:r>
          </w:p>
        </w:tc>
        <w:tc>
          <w:tcPr>
            <w:tcW w:w="3254" w:type="dxa"/>
            <w:gridSpan w:val="5"/>
            <w:tcBorders>
              <w:top w:val="single" w:sz="4" w:space="0" w:color="auto"/>
              <w:left w:val="single" w:sz="4" w:space="0" w:color="auto"/>
              <w:bottom w:val="single" w:sz="4" w:space="0" w:color="auto"/>
              <w:right w:val="single" w:sz="4" w:space="0" w:color="auto"/>
            </w:tcBorders>
          </w:tcPr>
          <w:p w14:paraId="1D70552A" w14:textId="77777777" w:rsidR="00F91B1E" w:rsidRPr="00453F31" w:rsidRDefault="00F91B1E" w:rsidP="00A3243E">
            <w:pPr>
              <w:pStyle w:val="NoSpacing"/>
              <w:jc w:val="center"/>
              <w:rPr>
                <w:rFonts w:ascii="Arial" w:eastAsia="Calibri" w:hAnsi="Arial" w:cs="Arial"/>
                <w:iCs/>
                <w:sz w:val="24"/>
                <w:szCs w:val="24"/>
              </w:rPr>
            </w:pPr>
            <w:proofErr w:type="spellStart"/>
            <w:r w:rsidRPr="00453F31">
              <w:rPr>
                <w:rFonts w:ascii="Arial" w:eastAsia="Calibri" w:hAnsi="Arial" w:cs="Arial"/>
                <w:iCs/>
                <w:sz w:val="24"/>
                <w:szCs w:val="24"/>
              </w:rPr>
              <w:t>Rupay</w:t>
            </w:r>
            <w:proofErr w:type="spellEnd"/>
            <w:r w:rsidRPr="00453F31">
              <w:rPr>
                <w:rFonts w:ascii="Arial" w:eastAsia="Calibri" w:hAnsi="Arial" w:cs="Arial"/>
                <w:iCs/>
                <w:sz w:val="24"/>
                <w:szCs w:val="24"/>
              </w:rPr>
              <w:t xml:space="preserve"> Select Debit Card</w:t>
            </w:r>
          </w:p>
        </w:tc>
      </w:tr>
      <w:tr w:rsidR="00F91B1E" w:rsidRPr="00453F31" w14:paraId="48F28864" w14:textId="77777777" w:rsidTr="00A3243E">
        <w:trPr>
          <w:trHeight w:val="55"/>
        </w:trPr>
        <w:tc>
          <w:tcPr>
            <w:tcW w:w="2741" w:type="dxa"/>
            <w:gridSpan w:val="3"/>
            <w:tcBorders>
              <w:top w:val="single" w:sz="4" w:space="0" w:color="auto"/>
              <w:left w:val="single" w:sz="4" w:space="0" w:color="auto"/>
              <w:right w:val="single" w:sz="4" w:space="0" w:color="auto"/>
            </w:tcBorders>
          </w:tcPr>
          <w:p w14:paraId="3D297944"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lastRenderedPageBreak/>
              <w:t>Transactions at ATMs</w:t>
            </w:r>
          </w:p>
        </w:tc>
        <w:tc>
          <w:tcPr>
            <w:tcW w:w="7919" w:type="dxa"/>
            <w:gridSpan w:val="15"/>
            <w:tcBorders>
              <w:top w:val="single" w:sz="4" w:space="0" w:color="auto"/>
              <w:left w:val="single" w:sz="4" w:space="0" w:color="auto"/>
              <w:bottom w:val="single" w:sz="4" w:space="0" w:color="auto"/>
              <w:right w:val="single" w:sz="4" w:space="0" w:color="auto"/>
            </w:tcBorders>
          </w:tcPr>
          <w:p w14:paraId="7B1DFFFD" w14:textId="77777777" w:rsidR="00F91B1E" w:rsidRPr="00453F31" w:rsidRDefault="00F91B1E" w:rsidP="00A3243E">
            <w:pPr>
              <w:pStyle w:val="NoSpacing"/>
              <w:jc w:val="both"/>
              <w:rPr>
                <w:rFonts w:ascii="Arial" w:eastAsia="Calibri" w:hAnsi="Arial" w:cs="Arial"/>
                <w:iCs/>
                <w:sz w:val="24"/>
                <w:szCs w:val="24"/>
              </w:rPr>
            </w:pPr>
            <w:r w:rsidRPr="00453F31">
              <w:rPr>
                <w:rFonts w:ascii="Arial" w:hAnsi="Arial" w:cs="Arial"/>
                <w:bCs/>
                <w:sz w:val="24"/>
                <w:szCs w:val="24"/>
              </w:rPr>
              <w:t>Free ATM withdrawals – unlimited at all SBI ATMs and 10 free transactions per month at non-SBI ATMs (including both financial and non-financial transactions)</w:t>
            </w:r>
          </w:p>
        </w:tc>
      </w:tr>
      <w:tr w:rsidR="00F91B1E" w:rsidRPr="00453F31" w14:paraId="0DAB2E21" w14:textId="77777777" w:rsidTr="00A3243E">
        <w:trPr>
          <w:trHeight w:val="313"/>
        </w:trPr>
        <w:tc>
          <w:tcPr>
            <w:tcW w:w="2741" w:type="dxa"/>
            <w:gridSpan w:val="3"/>
            <w:tcBorders>
              <w:top w:val="single" w:sz="4" w:space="0" w:color="auto"/>
              <w:left w:val="single" w:sz="4" w:space="0" w:color="auto"/>
              <w:bottom w:val="single" w:sz="4" w:space="0" w:color="auto"/>
              <w:right w:val="single" w:sz="4" w:space="0" w:color="auto"/>
            </w:tcBorders>
            <w:hideMark/>
          </w:tcPr>
          <w:p w14:paraId="1B674B5B"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 xml:space="preserve">Multi City Cheques </w:t>
            </w:r>
          </w:p>
        </w:tc>
        <w:tc>
          <w:tcPr>
            <w:tcW w:w="7919" w:type="dxa"/>
            <w:gridSpan w:val="15"/>
            <w:tcBorders>
              <w:top w:val="single" w:sz="4" w:space="0" w:color="auto"/>
              <w:left w:val="single" w:sz="4" w:space="0" w:color="auto"/>
              <w:bottom w:val="single" w:sz="4" w:space="0" w:color="auto"/>
              <w:right w:val="single" w:sz="4" w:space="0" w:color="auto"/>
            </w:tcBorders>
          </w:tcPr>
          <w:p w14:paraId="64C2B288" w14:textId="77777777" w:rsidR="00F91B1E" w:rsidRPr="00453F31" w:rsidRDefault="00F91B1E" w:rsidP="00A3243E">
            <w:pPr>
              <w:pStyle w:val="NoSpacing"/>
              <w:jc w:val="center"/>
              <w:rPr>
                <w:rFonts w:ascii="Arial" w:hAnsi="Arial" w:cs="Arial"/>
                <w:sz w:val="24"/>
                <w:szCs w:val="24"/>
              </w:rPr>
            </w:pPr>
            <w:r w:rsidRPr="00453F31">
              <w:rPr>
                <w:rFonts w:ascii="Arial" w:hAnsi="Arial" w:cs="Arial"/>
                <w:sz w:val="24"/>
                <w:szCs w:val="24"/>
              </w:rPr>
              <w:t>25 cheque leaves free per month (except for bulk requirement)</w:t>
            </w:r>
          </w:p>
          <w:p w14:paraId="1C47E865" w14:textId="77777777" w:rsidR="00F91B1E" w:rsidRPr="00453F31" w:rsidRDefault="00F91B1E" w:rsidP="00A3243E">
            <w:pPr>
              <w:pStyle w:val="NoSpacing"/>
              <w:jc w:val="center"/>
              <w:rPr>
                <w:rFonts w:ascii="Arial" w:eastAsia="Calibri" w:hAnsi="Arial" w:cs="Arial"/>
                <w:iCs/>
                <w:sz w:val="24"/>
                <w:szCs w:val="24"/>
              </w:rPr>
            </w:pPr>
          </w:p>
        </w:tc>
      </w:tr>
      <w:tr w:rsidR="00F91B1E" w:rsidRPr="00453F31" w14:paraId="34CB040E" w14:textId="77777777" w:rsidTr="00A3243E">
        <w:trPr>
          <w:trHeight w:val="152"/>
        </w:trPr>
        <w:tc>
          <w:tcPr>
            <w:tcW w:w="2741" w:type="dxa"/>
            <w:gridSpan w:val="3"/>
            <w:tcBorders>
              <w:top w:val="single" w:sz="4" w:space="0" w:color="auto"/>
              <w:left w:val="single" w:sz="4" w:space="0" w:color="auto"/>
              <w:bottom w:val="single" w:sz="4" w:space="0" w:color="auto"/>
              <w:right w:val="single" w:sz="4" w:space="0" w:color="auto"/>
            </w:tcBorders>
            <w:hideMark/>
          </w:tcPr>
          <w:p w14:paraId="7B156DBE"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Concession in annual locker rent</w:t>
            </w:r>
          </w:p>
          <w:p w14:paraId="0020165A" w14:textId="77777777" w:rsidR="00F91B1E" w:rsidRPr="00453F31" w:rsidRDefault="00F91B1E" w:rsidP="00A3243E">
            <w:pPr>
              <w:pStyle w:val="NoSpacing"/>
              <w:jc w:val="both"/>
              <w:rPr>
                <w:rFonts w:ascii="Arial" w:eastAsia="Calibri" w:hAnsi="Arial" w:cs="Arial"/>
                <w:bCs/>
                <w:iCs/>
                <w:sz w:val="24"/>
                <w:szCs w:val="24"/>
              </w:rPr>
            </w:pPr>
          </w:p>
        </w:tc>
        <w:tc>
          <w:tcPr>
            <w:tcW w:w="3082" w:type="dxa"/>
            <w:gridSpan w:val="7"/>
            <w:tcBorders>
              <w:top w:val="single" w:sz="4" w:space="0" w:color="auto"/>
              <w:left w:val="single" w:sz="4" w:space="0" w:color="auto"/>
              <w:bottom w:val="single" w:sz="4" w:space="0" w:color="auto"/>
              <w:right w:val="single" w:sz="4" w:space="0" w:color="auto"/>
            </w:tcBorders>
            <w:vAlign w:val="center"/>
          </w:tcPr>
          <w:p w14:paraId="6A0625C7"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eastAsia="Calibri" w:hAnsi="Arial" w:cs="Arial"/>
                <w:bCs/>
                <w:iCs/>
                <w:sz w:val="24"/>
                <w:szCs w:val="24"/>
              </w:rPr>
              <w:t>Nil</w:t>
            </w:r>
          </w:p>
        </w:tc>
        <w:tc>
          <w:tcPr>
            <w:tcW w:w="4837" w:type="dxa"/>
            <w:gridSpan w:val="8"/>
            <w:tcBorders>
              <w:top w:val="single" w:sz="4" w:space="0" w:color="auto"/>
              <w:left w:val="single" w:sz="4" w:space="0" w:color="auto"/>
              <w:bottom w:val="single" w:sz="4" w:space="0" w:color="auto"/>
              <w:right w:val="single" w:sz="4" w:space="0" w:color="auto"/>
            </w:tcBorders>
            <w:vAlign w:val="center"/>
          </w:tcPr>
          <w:p w14:paraId="08E42E25"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eastAsia="Calibri" w:hAnsi="Arial" w:cs="Arial"/>
                <w:bCs/>
                <w:iCs/>
                <w:sz w:val="24"/>
                <w:szCs w:val="24"/>
              </w:rPr>
              <w:t>50% of applicable rate</w:t>
            </w:r>
          </w:p>
        </w:tc>
      </w:tr>
      <w:tr w:rsidR="00F91B1E" w:rsidRPr="00453F31" w14:paraId="385DA009"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6B6752EB" w14:textId="77777777" w:rsidR="00F91B1E" w:rsidRPr="00453F31" w:rsidRDefault="00F91B1E" w:rsidP="00A3243E">
            <w:pPr>
              <w:pStyle w:val="NoSpacing"/>
              <w:rPr>
                <w:rFonts w:ascii="Arial" w:eastAsia="Calibri" w:hAnsi="Arial" w:cs="Arial"/>
                <w:bCs/>
                <w:iCs/>
                <w:sz w:val="24"/>
                <w:szCs w:val="24"/>
              </w:rPr>
            </w:pPr>
            <w:r w:rsidRPr="00453F31">
              <w:rPr>
                <w:rFonts w:ascii="Arial" w:eastAsia="Calibri" w:hAnsi="Arial" w:cs="Arial"/>
                <w:bCs/>
                <w:iCs/>
                <w:sz w:val="24"/>
                <w:szCs w:val="24"/>
              </w:rPr>
              <w:t xml:space="preserve">Setting up of Standing Instructions within SBI </w:t>
            </w:r>
          </w:p>
          <w:p w14:paraId="75E4E64C" w14:textId="77777777" w:rsidR="00F91B1E" w:rsidRPr="00453F31" w:rsidRDefault="00F91B1E" w:rsidP="00A3243E">
            <w:pPr>
              <w:pStyle w:val="NoSpacing"/>
              <w:rPr>
                <w:rFonts w:ascii="Arial" w:eastAsia="Calibri" w:hAnsi="Arial" w:cs="Arial"/>
                <w:bCs/>
                <w:iCs/>
                <w:sz w:val="24"/>
                <w:szCs w:val="24"/>
              </w:rPr>
            </w:pPr>
          </w:p>
        </w:tc>
        <w:tc>
          <w:tcPr>
            <w:tcW w:w="7919" w:type="dxa"/>
            <w:gridSpan w:val="15"/>
            <w:tcBorders>
              <w:top w:val="single" w:sz="4" w:space="0" w:color="auto"/>
              <w:left w:val="single" w:sz="4" w:space="0" w:color="auto"/>
              <w:bottom w:val="single" w:sz="4" w:space="0" w:color="auto"/>
              <w:right w:val="single" w:sz="4" w:space="0" w:color="auto"/>
            </w:tcBorders>
            <w:vAlign w:val="center"/>
            <w:hideMark/>
          </w:tcPr>
          <w:p w14:paraId="6963E539" w14:textId="77777777" w:rsidR="00F91B1E" w:rsidRPr="00453F31" w:rsidRDefault="00F91B1E" w:rsidP="00A3243E">
            <w:pPr>
              <w:pStyle w:val="NoSpacing"/>
              <w:jc w:val="center"/>
              <w:rPr>
                <w:rFonts w:ascii="Arial" w:eastAsia="Calibri" w:hAnsi="Arial" w:cs="Arial"/>
                <w:bCs/>
                <w:iCs/>
                <w:sz w:val="24"/>
                <w:szCs w:val="24"/>
              </w:rPr>
            </w:pPr>
            <w:r w:rsidRPr="00453F31">
              <w:rPr>
                <w:rFonts w:ascii="Arial" w:hAnsi="Arial" w:cs="Arial"/>
                <w:sz w:val="24"/>
                <w:szCs w:val="24"/>
              </w:rPr>
              <w:t>Free (within SBI)</w:t>
            </w:r>
          </w:p>
        </w:tc>
      </w:tr>
      <w:tr w:rsidR="00F91B1E" w:rsidRPr="00453F31" w14:paraId="7D2D3867"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hideMark/>
          </w:tcPr>
          <w:p w14:paraId="7AD15B6C"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RTGS/NEFT Charges</w:t>
            </w:r>
          </w:p>
          <w:p w14:paraId="4CAD3C7D" w14:textId="77777777" w:rsidR="00F91B1E" w:rsidRPr="00453F31" w:rsidRDefault="00F91B1E" w:rsidP="00A3243E">
            <w:pPr>
              <w:pStyle w:val="NoSpacing"/>
              <w:jc w:val="both"/>
              <w:rPr>
                <w:rFonts w:ascii="Arial" w:eastAsia="Calibri" w:hAnsi="Arial" w:cs="Arial"/>
                <w:bCs/>
                <w:iCs/>
                <w:sz w:val="24"/>
                <w:szCs w:val="24"/>
              </w:rPr>
            </w:pPr>
          </w:p>
          <w:p w14:paraId="2CF663CC" w14:textId="77777777" w:rsidR="00F91B1E" w:rsidRPr="00453F31" w:rsidRDefault="00F91B1E" w:rsidP="00A3243E">
            <w:pPr>
              <w:pStyle w:val="NoSpacing"/>
              <w:jc w:val="both"/>
              <w:rPr>
                <w:rFonts w:ascii="Arial" w:eastAsia="Calibri" w:hAnsi="Arial" w:cs="Arial"/>
                <w:bCs/>
                <w:iCs/>
                <w:sz w:val="24"/>
                <w:szCs w:val="24"/>
              </w:rPr>
            </w:pPr>
          </w:p>
        </w:tc>
        <w:tc>
          <w:tcPr>
            <w:tcW w:w="7919" w:type="dxa"/>
            <w:gridSpan w:val="15"/>
            <w:tcBorders>
              <w:top w:val="single" w:sz="4" w:space="0" w:color="auto"/>
              <w:left w:val="single" w:sz="4" w:space="0" w:color="auto"/>
              <w:bottom w:val="single" w:sz="4" w:space="0" w:color="auto"/>
              <w:right w:val="single" w:sz="4" w:space="0" w:color="auto"/>
            </w:tcBorders>
            <w:vAlign w:val="center"/>
          </w:tcPr>
          <w:p w14:paraId="035F6187"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Waived (in online mode)</w:t>
            </w:r>
          </w:p>
        </w:tc>
      </w:tr>
      <w:tr w:rsidR="00F91B1E" w:rsidRPr="00453F31" w14:paraId="7A74E086"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hideMark/>
          </w:tcPr>
          <w:p w14:paraId="4AD9C8BE"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Charges for issue of Demand Draft</w:t>
            </w:r>
          </w:p>
          <w:p w14:paraId="1FF70EA5" w14:textId="77777777" w:rsidR="00F91B1E" w:rsidRPr="00453F31" w:rsidRDefault="00F91B1E" w:rsidP="00A3243E">
            <w:pPr>
              <w:pStyle w:val="NoSpacing"/>
              <w:jc w:val="both"/>
              <w:rPr>
                <w:rFonts w:ascii="Arial" w:eastAsia="Calibri" w:hAnsi="Arial" w:cs="Arial"/>
                <w:bCs/>
                <w:iCs/>
                <w:sz w:val="24"/>
                <w:szCs w:val="24"/>
              </w:rPr>
            </w:pPr>
          </w:p>
        </w:tc>
        <w:tc>
          <w:tcPr>
            <w:tcW w:w="7919" w:type="dxa"/>
            <w:gridSpan w:val="15"/>
            <w:tcBorders>
              <w:top w:val="single" w:sz="4" w:space="0" w:color="auto"/>
              <w:left w:val="single" w:sz="4" w:space="0" w:color="auto"/>
              <w:bottom w:val="single" w:sz="4" w:space="0" w:color="auto"/>
              <w:right w:val="single" w:sz="4" w:space="0" w:color="auto"/>
            </w:tcBorders>
            <w:vAlign w:val="center"/>
          </w:tcPr>
          <w:p w14:paraId="63F99FD0" w14:textId="77777777" w:rsidR="00F91B1E" w:rsidRPr="00453F31" w:rsidRDefault="00F91B1E" w:rsidP="00A3243E">
            <w:pPr>
              <w:pStyle w:val="NoSpacing"/>
              <w:jc w:val="center"/>
              <w:rPr>
                <w:rFonts w:ascii="Arial" w:eastAsia="Calibri" w:hAnsi="Arial" w:cs="Arial"/>
                <w:iCs/>
                <w:sz w:val="24"/>
                <w:szCs w:val="24"/>
              </w:rPr>
            </w:pPr>
            <w:r w:rsidRPr="00453F31">
              <w:rPr>
                <w:rFonts w:ascii="Arial" w:hAnsi="Arial" w:cs="Arial"/>
                <w:sz w:val="24"/>
                <w:szCs w:val="24"/>
              </w:rPr>
              <w:t>Waived, if debited through Salary Account</w:t>
            </w:r>
          </w:p>
        </w:tc>
      </w:tr>
      <w:tr w:rsidR="00F91B1E" w:rsidRPr="00453F31" w14:paraId="1DE77EFB"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70D67F72" w14:textId="77777777" w:rsidR="00F91B1E" w:rsidRPr="00453F31" w:rsidRDefault="00F91B1E" w:rsidP="00A3243E">
            <w:pPr>
              <w:rPr>
                <w:rFonts w:ascii="Arial" w:eastAsia="Calibri" w:hAnsi="Arial" w:cs="Arial"/>
                <w:b/>
                <w:bCs/>
                <w:iCs/>
              </w:rPr>
            </w:pPr>
            <w:r w:rsidRPr="00453F31">
              <w:rPr>
                <w:rFonts w:ascii="Arial" w:hAnsi="Arial" w:cs="Arial"/>
              </w:rPr>
              <w:t xml:space="preserve">Family Savings Account – SBI </w:t>
            </w:r>
            <w:proofErr w:type="spellStart"/>
            <w:r w:rsidRPr="00453F31">
              <w:rPr>
                <w:rFonts w:ascii="Arial" w:hAnsi="Arial" w:cs="Arial"/>
              </w:rPr>
              <w:t>Rishtey</w:t>
            </w:r>
            <w:proofErr w:type="spellEnd"/>
          </w:p>
        </w:tc>
        <w:tc>
          <w:tcPr>
            <w:tcW w:w="7919" w:type="dxa"/>
            <w:gridSpan w:val="15"/>
            <w:tcBorders>
              <w:top w:val="single" w:sz="4" w:space="0" w:color="auto"/>
              <w:left w:val="single" w:sz="4" w:space="0" w:color="auto"/>
              <w:bottom w:val="single" w:sz="4" w:space="0" w:color="auto"/>
              <w:right w:val="single" w:sz="4" w:space="0" w:color="auto"/>
            </w:tcBorders>
          </w:tcPr>
          <w:p w14:paraId="6FE42189"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Available for Gold, Diamond, Platinum &amp; Rhodium variants</w:t>
            </w:r>
          </w:p>
        </w:tc>
      </w:tr>
      <w:tr w:rsidR="00F91B1E" w:rsidRPr="00453F31" w14:paraId="42A202E4" w14:textId="77777777" w:rsidTr="00A3243E">
        <w:trPr>
          <w:trHeight w:val="29"/>
        </w:trPr>
        <w:tc>
          <w:tcPr>
            <w:tcW w:w="10660" w:type="dxa"/>
            <w:gridSpan w:val="18"/>
            <w:tcBorders>
              <w:top w:val="single" w:sz="4" w:space="0" w:color="auto"/>
              <w:left w:val="single" w:sz="4" w:space="0" w:color="auto"/>
              <w:bottom w:val="single" w:sz="4" w:space="0" w:color="auto"/>
              <w:right w:val="single" w:sz="4" w:space="0" w:color="auto"/>
            </w:tcBorders>
          </w:tcPr>
          <w:p w14:paraId="54FF208D" w14:textId="77777777" w:rsidR="00F91B1E" w:rsidRPr="00453F31" w:rsidRDefault="00F91B1E" w:rsidP="00A3243E">
            <w:pPr>
              <w:jc w:val="both"/>
              <w:rPr>
                <w:rFonts w:ascii="Arial" w:hAnsi="Arial" w:cs="Arial"/>
                <w:b/>
                <w:bCs/>
              </w:rPr>
            </w:pPr>
            <w:r w:rsidRPr="00453F31">
              <w:rPr>
                <w:rFonts w:ascii="Arial" w:hAnsi="Arial" w:cs="Arial"/>
                <w:b/>
                <w:bCs/>
              </w:rPr>
              <w:t xml:space="preserve">2.3.SBI RISHTEY: </w:t>
            </w:r>
            <w:r w:rsidRPr="00453F31">
              <w:rPr>
                <w:rFonts w:ascii="Arial" w:hAnsi="Arial" w:cs="Arial"/>
              </w:rPr>
              <w:t>Family Savings account for up to 4 family members (any 4 amongst, Spouse, Children, Parents &amp; Siblings) of Gold and above variant salary account holders.</w:t>
            </w:r>
          </w:p>
          <w:p w14:paraId="5A9091FE" w14:textId="77777777" w:rsidR="00F91B1E" w:rsidRPr="00453F31" w:rsidRDefault="00F91B1E" w:rsidP="00A3243E">
            <w:pPr>
              <w:jc w:val="both"/>
              <w:rPr>
                <w:rFonts w:ascii="Arial" w:hAnsi="Arial" w:cs="Arial"/>
                <w:b/>
                <w:bCs/>
              </w:rPr>
            </w:pPr>
            <w:r w:rsidRPr="00453F31">
              <w:rPr>
                <w:rFonts w:ascii="Arial" w:hAnsi="Arial" w:cs="Arial"/>
                <w:b/>
                <w:bCs/>
              </w:rPr>
              <w:t xml:space="preserve">Benefits under “SBI </w:t>
            </w:r>
            <w:proofErr w:type="spellStart"/>
            <w:r w:rsidRPr="00453F31">
              <w:rPr>
                <w:rFonts w:ascii="Arial" w:hAnsi="Arial" w:cs="Arial"/>
                <w:b/>
                <w:bCs/>
              </w:rPr>
              <w:t>Rishtey</w:t>
            </w:r>
            <w:proofErr w:type="spellEnd"/>
            <w:r w:rsidRPr="00453F31">
              <w:rPr>
                <w:rFonts w:ascii="Arial" w:hAnsi="Arial" w:cs="Arial"/>
                <w:b/>
                <w:bCs/>
              </w:rPr>
              <w:t>”:</w:t>
            </w:r>
          </w:p>
          <w:p w14:paraId="773DB621" w14:textId="77777777" w:rsidR="00F91B1E" w:rsidRPr="00453F31" w:rsidRDefault="00F91B1E" w:rsidP="00A3243E">
            <w:pPr>
              <w:spacing w:after="200" w:line="240" w:lineRule="auto"/>
              <w:jc w:val="both"/>
              <w:rPr>
                <w:rFonts w:ascii="Arial" w:hAnsi="Arial" w:cs="Arial"/>
              </w:rPr>
            </w:pPr>
            <w:r w:rsidRPr="00453F31">
              <w:rPr>
                <w:rFonts w:ascii="Arial" w:hAnsi="Arial" w:cs="Arial"/>
              </w:rPr>
              <w:t>1.Type of Account: Regular Savings Bank Account</w:t>
            </w:r>
          </w:p>
          <w:p w14:paraId="15810FAB" w14:textId="77777777" w:rsidR="00F91B1E" w:rsidRPr="00453F31" w:rsidRDefault="00F91B1E" w:rsidP="00A3243E">
            <w:pPr>
              <w:spacing w:after="200" w:line="240" w:lineRule="auto"/>
              <w:jc w:val="both"/>
              <w:rPr>
                <w:rFonts w:ascii="Arial" w:hAnsi="Arial" w:cs="Arial"/>
              </w:rPr>
            </w:pPr>
            <w:r w:rsidRPr="00453F31">
              <w:rPr>
                <w:rFonts w:ascii="Arial" w:hAnsi="Arial" w:cs="Arial"/>
              </w:rPr>
              <w:t xml:space="preserve">2. Minimum Balance/ Monthly Average Balance: Nil </w:t>
            </w:r>
          </w:p>
          <w:p w14:paraId="1342DA62" w14:textId="77777777" w:rsidR="00F91B1E" w:rsidRPr="00453F31" w:rsidRDefault="00F91B1E" w:rsidP="00A3243E">
            <w:pPr>
              <w:spacing w:after="200" w:line="240" w:lineRule="auto"/>
              <w:jc w:val="both"/>
              <w:rPr>
                <w:rFonts w:ascii="Arial" w:hAnsi="Arial" w:cs="Arial"/>
              </w:rPr>
            </w:pPr>
            <w:r w:rsidRPr="00453F31">
              <w:rPr>
                <w:rFonts w:ascii="Arial" w:hAnsi="Arial" w:cs="Arial"/>
              </w:rPr>
              <w:t>3. Debit Card: Classic Debit Card (Free, Issuance and AMC)</w:t>
            </w:r>
          </w:p>
          <w:p w14:paraId="06C08B1E" w14:textId="77777777" w:rsidR="00F91B1E" w:rsidRPr="00453F31" w:rsidRDefault="00F91B1E" w:rsidP="00A3243E">
            <w:pPr>
              <w:spacing w:after="200" w:line="240" w:lineRule="auto"/>
              <w:jc w:val="both"/>
              <w:rPr>
                <w:rFonts w:ascii="Arial" w:hAnsi="Arial" w:cs="Arial"/>
              </w:rPr>
            </w:pPr>
            <w:r w:rsidRPr="00453F31">
              <w:rPr>
                <w:rFonts w:ascii="Arial" w:hAnsi="Arial" w:cs="Arial"/>
              </w:rPr>
              <w:t>4. Transaction at ATMs: U</w:t>
            </w:r>
            <w:r w:rsidRPr="00453F31">
              <w:rPr>
                <w:rFonts w:ascii="Arial" w:hAnsi="Arial" w:cs="Arial"/>
                <w:bCs/>
              </w:rPr>
              <w:t xml:space="preserve">nlimited free at all SBI ATMs and 10 free transactions (including both financial and non-financial transactions) per month at non-SBI ATMs </w:t>
            </w:r>
            <w:r w:rsidRPr="00453F31">
              <w:rPr>
                <w:rFonts w:ascii="Arial" w:hAnsi="Arial" w:cs="Arial"/>
              </w:rPr>
              <w:t>using debit card linked to “</w:t>
            </w:r>
            <w:proofErr w:type="spellStart"/>
            <w:r w:rsidRPr="00453F31">
              <w:rPr>
                <w:rFonts w:ascii="Arial" w:hAnsi="Arial" w:cs="Arial"/>
              </w:rPr>
              <w:t>Rishtey</w:t>
            </w:r>
            <w:proofErr w:type="spellEnd"/>
            <w:r w:rsidRPr="00453F31">
              <w:rPr>
                <w:rFonts w:ascii="Arial" w:hAnsi="Arial" w:cs="Arial"/>
              </w:rPr>
              <w:t>” accounts.</w:t>
            </w:r>
          </w:p>
          <w:p w14:paraId="23A5A324" w14:textId="77777777" w:rsidR="00F91B1E" w:rsidRPr="00453F31" w:rsidRDefault="00F91B1E" w:rsidP="00A3243E">
            <w:pPr>
              <w:spacing w:after="200" w:line="240" w:lineRule="auto"/>
              <w:jc w:val="both"/>
              <w:rPr>
                <w:rFonts w:ascii="Arial" w:hAnsi="Arial" w:cs="Arial"/>
              </w:rPr>
            </w:pPr>
            <w:r w:rsidRPr="00453F31">
              <w:rPr>
                <w:rFonts w:ascii="Arial" w:hAnsi="Arial" w:cs="Arial"/>
              </w:rPr>
              <w:t xml:space="preserve">5.  Multi City Cheque: Nil Charge (Except for Bulk Requirement </w:t>
            </w:r>
            <w:proofErr w:type="spellStart"/>
            <w:r w:rsidRPr="00453F31">
              <w:rPr>
                <w:rFonts w:ascii="Arial" w:hAnsi="Arial" w:cs="Arial"/>
              </w:rPr>
              <w:t>i.e</w:t>
            </w:r>
            <w:proofErr w:type="spellEnd"/>
            <w:r w:rsidRPr="00453F31">
              <w:rPr>
                <w:rFonts w:ascii="Arial" w:hAnsi="Arial" w:cs="Arial"/>
              </w:rPr>
              <w:t xml:space="preserve"> in excess of 25 leaves at a single instance or in a month)</w:t>
            </w:r>
          </w:p>
          <w:p w14:paraId="24705A1F" w14:textId="77777777" w:rsidR="00F91B1E" w:rsidRPr="00453F31" w:rsidRDefault="00F91B1E" w:rsidP="00A3243E">
            <w:pPr>
              <w:spacing w:after="200" w:line="240" w:lineRule="auto"/>
              <w:jc w:val="both"/>
              <w:rPr>
                <w:rFonts w:ascii="Arial" w:hAnsi="Arial" w:cs="Arial"/>
              </w:rPr>
            </w:pPr>
            <w:r w:rsidRPr="00453F31">
              <w:rPr>
                <w:rFonts w:ascii="Arial" w:hAnsi="Arial" w:cs="Arial"/>
              </w:rPr>
              <w:t>6. NEFT/RTGS Charges: Free (Online), Applicable charges in offline mode</w:t>
            </w:r>
          </w:p>
          <w:p w14:paraId="053E1A07" w14:textId="77777777" w:rsidR="00F91B1E" w:rsidRPr="00453F31" w:rsidRDefault="00F91B1E" w:rsidP="00A3243E">
            <w:pPr>
              <w:spacing w:after="200" w:line="240" w:lineRule="auto"/>
              <w:jc w:val="both"/>
              <w:rPr>
                <w:rFonts w:ascii="Arial" w:hAnsi="Arial" w:cs="Arial"/>
              </w:rPr>
            </w:pPr>
            <w:r w:rsidRPr="00453F31">
              <w:rPr>
                <w:rFonts w:ascii="Arial" w:hAnsi="Arial" w:cs="Arial"/>
              </w:rPr>
              <w:t>7. Demand Draft Charges: Free, if issued by debit to “</w:t>
            </w:r>
            <w:proofErr w:type="spellStart"/>
            <w:r w:rsidRPr="00453F31">
              <w:rPr>
                <w:rFonts w:ascii="Arial" w:hAnsi="Arial" w:cs="Arial"/>
              </w:rPr>
              <w:t>Rishtey</w:t>
            </w:r>
            <w:proofErr w:type="spellEnd"/>
            <w:r w:rsidRPr="00453F31">
              <w:rPr>
                <w:rFonts w:ascii="Arial" w:hAnsi="Arial" w:cs="Arial"/>
              </w:rPr>
              <w:t>” account</w:t>
            </w:r>
          </w:p>
          <w:p w14:paraId="3A792BF3" w14:textId="77777777" w:rsidR="00F91B1E" w:rsidRPr="00453F31" w:rsidRDefault="00F91B1E" w:rsidP="00A3243E">
            <w:pPr>
              <w:spacing w:after="200" w:line="240" w:lineRule="auto"/>
              <w:jc w:val="both"/>
              <w:rPr>
                <w:rFonts w:ascii="Arial" w:hAnsi="Arial" w:cs="Arial"/>
                <w:i/>
                <w:iCs/>
              </w:rPr>
            </w:pPr>
            <w:r w:rsidRPr="00453F31">
              <w:rPr>
                <w:rFonts w:ascii="Arial" w:hAnsi="Arial" w:cs="Arial"/>
              </w:rPr>
              <w:t>8. Auto Sweep Facility: Available (lucrative option to earn higher interest on Saving A/c) Threshold Amount: Rs.35,000/- &amp; TDRs/ STDRs to be created for a minimum amount of Rs.10,000/- (and in multiples of Rs.1,000/-) in any one instance</w:t>
            </w:r>
          </w:p>
          <w:p w14:paraId="5597E5F6" w14:textId="77777777" w:rsidR="00F91B1E" w:rsidRPr="00453F31" w:rsidRDefault="00F91B1E" w:rsidP="00A3243E">
            <w:pPr>
              <w:spacing w:after="200" w:line="240" w:lineRule="auto"/>
              <w:jc w:val="both"/>
              <w:rPr>
                <w:rFonts w:ascii="Arial" w:hAnsi="Arial" w:cs="Arial"/>
              </w:rPr>
            </w:pPr>
            <w:r w:rsidRPr="00453F31">
              <w:rPr>
                <w:rFonts w:ascii="Arial" w:hAnsi="Arial" w:cs="Arial"/>
              </w:rPr>
              <w:t>9.</w:t>
            </w:r>
            <w:r w:rsidRPr="00453F31">
              <w:rPr>
                <w:rFonts w:ascii="Arial" w:hAnsi="Arial" w:cs="Arial"/>
                <w:i/>
                <w:iCs/>
              </w:rPr>
              <w:t xml:space="preserve"> </w:t>
            </w:r>
            <w:r w:rsidRPr="00453F31">
              <w:rPr>
                <w:rFonts w:ascii="Arial" w:hAnsi="Arial" w:cs="Arial"/>
              </w:rPr>
              <w:t>SMS Alert Charges: Free</w:t>
            </w:r>
          </w:p>
          <w:p w14:paraId="3F5E02A8" w14:textId="77777777" w:rsidR="00F91B1E" w:rsidRPr="00453F31" w:rsidRDefault="00F91B1E" w:rsidP="00A3243E">
            <w:pPr>
              <w:spacing w:after="200" w:line="240" w:lineRule="auto"/>
              <w:jc w:val="both"/>
              <w:rPr>
                <w:rFonts w:ascii="Arial" w:hAnsi="Arial" w:cs="Arial"/>
              </w:rPr>
            </w:pPr>
            <w:r w:rsidRPr="00453F31">
              <w:rPr>
                <w:rFonts w:ascii="Arial" w:hAnsi="Arial" w:cs="Arial"/>
              </w:rPr>
              <w:t>10. Annual Locker Rentals: 10% Concession on applicable locker rentals, every year</w:t>
            </w:r>
          </w:p>
          <w:p w14:paraId="1498BD47" w14:textId="77777777" w:rsidR="00F91B1E" w:rsidRPr="00453F31" w:rsidRDefault="00F91B1E" w:rsidP="00A3243E">
            <w:pPr>
              <w:spacing w:after="200" w:line="240" w:lineRule="auto"/>
              <w:jc w:val="both"/>
              <w:rPr>
                <w:rFonts w:ascii="Arial" w:hAnsi="Arial" w:cs="Arial"/>
                <w:b/>
                <w:bCs/>
                <w:u w:val="single"/>
              </w:rPr>
            </w:pPr>
            <w:r w:rsidRPr="00453F31">
              <w:rPr>
                <w:rFonts w:ascii="Arial" w:hAnsi="Arial" w:cs="Arial"/>
              </w:rPr>
              <w:t>11. Personal Accidental Insurance (Death Cover): Up to ₹ 5 lakh each for all “</w:t>
            </w:r>
            <w:proofErr w:type="spellStart"/>
            <w:r w:rsidRPr="00453F31">
              <w:rPr>
                <w:rFonts w:ascii="Arial" w:hAnsi="Arial" w:cs="Arial"/>
              </w:rPr>
              <w:t>Rishtey</w:t>
            </w:r>
            <w:proofErr w:type="spellEnd"/>
            <w:r w:rsidRPr="00453F31">
              <w:rPr>
                <w:rFonts w:ascii="Arial" w:hAnsi="Arial" w:cs="Arial"/>
              </w:rPr>
              <w:t>” A/c holders (except minors)</w:t>
            </w:r>
          </w:p>
        </w:tc>
      </w:tr>
      <w:tr w:rsidR="00F91B1E" w:rsidRPr="00453F31" w14:paraId="61552E39" w14:textId="77777777" w:rsidTr="00A3243E">
        <w:trPr>
          <w:trHeight w:val="29"/>
        </w:trPr>
        <w:tc>
          <w:tcPr>
            <w:tcW w:w="10660" w:type="dxa"/>
            <w:gridSpan w:val="18"/>
            <w:tcBorders>
              <w:top w:val="single" w:sz="4" w:space="0" w:color="auto"/>
              <w:left w:val="single" w:sz="4" w:space="0" w:color="auto"/>
              <w:bottom w:val="single" w:sz="4" w:space="0" w:color="auto"/>
              <w:right w:val="single" w:sz="4" w:space="0" w:color="auto"/>
            </w:tcBorders>
          </w:tcPr>
          <w:p w14:paraId="5C55C436" w14:textId="77777777" w:rsidR="00F91B1E" w:rsidRPr="00453F31" w:rsidRDefault="00F91B1E" w:rsidP="00A3243E">
            <w:pPr>
              <w:pStyle w:val="NoSpacing"/>
              <w:rPr>
                <w:rFonts w:ascii="Arial" w:eastAsia="Calibri" w:hAnsi="Arial" w:cs="Arial"/>
                <w:b/>
                <w:bCs/>
                <w:iCs/>
                <w:sz w:val="24"/>
                <w:szCs w:val="24"/>
              </w:rPr>
            </w:pPr>
            <w:r w:rsidRPr="00453F31">
              <w:rPr>
                <w:rFonts w:ascii="Arial" w:eastAsia="Calibri" w:hAnsi="Arial" w:cs="Arial"/>
                <w:b/>
                <w:iCs/>
                <w:sz w:val="24"/>
                <w:szCs w:val="24"/>
              </w:rPr>
              <w:t>2.4. Complimentary Insurance Cover*</w:t>
            </w:r>
          </w:p>
        </w:tc>
      </w:tr>
      <w:tr w:rsidR="00F91B1E" w:rsidRPr="00453F31" w14:paraId="62256301" w14:textId="77777777" w:rsidTr="00A3243E">
        <w:trPr>
          <w:trHeight w:val="29"/>
        </w:trPr>
        <w:tc>
          <w:tcPr>
            <w:tcW w:w="2705" w:type="dxa"/>
            <w:gridSpan w:val="2"/>
            <w:tcBorders>
              <w:top w:val="single" w:sz="4" w:space="0" w:color="auto"/>
              <w:left w:val="single" w:sz="4" w:space="0" w:color="auto"/>
              <w:bottom w:val="single" w:sz="4" w:space="0" w:color="auto"/>
              <w:right w:val="single" w:sz="4" w:space="0" w:color="auto"/>
            </w:tcBorders>
          </w:tcPr>
          <w:p w14:paraId="1BDB1C0C"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rPr>
              <w:br w:type="page"/>
            </w:r>
            <w:r w:rsidRPr="00453F31">
              <w:rPr>
                <w:rFonts w:ascii="Arial" w:eastAsia="Calibri" w:hAnsi="Arial" w:cs="Arial"/>
              </w:rPr>
              <w:br w:type="page"/>
            </w:r>
            <w:r w:rsidRPr="00453F31">
              <w:rPr>
                <w:rFonts w:ascii="Arial" w:eastAsia="Calibri" w:hAnsi="Arial" w:cs="Arial"/>
                <w:b/>
                <w:bCs/>
              </w:rPr>
              <w:t xml:space="preserve">Variants </w:t>
            </w:r>
          </w:p>
        </w:tc>
        <w:tc>
          <w:tcPr>
            <w:tcW w:w="1417" w:type="dxa"/>
            <w:gridSpan w:val="3"/>
            <w:tcBorders>
              <w:top w:val="single" w:sz="4" w:space="0" w:color="auto"/>
              <w:left w:val="single" w:sz="4" w:space="0" w:color="auto"/>
              <w:bottom w:val="single" w:sz="4" w:space="0" w:color="auto"/>
              <w:right w:val="single" w:sz="4" w:space="0" w:color="auto"/>
            </w:tcBorders>
          </w:tcPr>
          <w:p w14:paraId="3FCFBBF2"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b/>
                <w:iCs/>
              </w:rPr>
              <w:t>Silver</w:t>
            </w:r>
          </w:p>
        </w:tc>
        <w:tc>
          <w:tcPr>
            <w:tcW w:w="1560" w:type="dxa"/>
            <w:gridSpan w:val="4"/>
            <w:tcBorders>
              <w:top w:val="single" w:sz="4" w:space="0" w:color="auto"/>
              <w:left w:val="single" w:sz="4" w:space="0" w:color="auto"/>
              <w:bottom w:val="single" w:sz="4" w:space="0" w:color="auto"/>
              <w:right w:val="single" w:sz="4" w:space="0" w:color="auto"/>
            </w:tcBorders>
          </w:tcPr>
          <w:p w14:paraId="1F6A069C"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b/>
                <w:iCs/>
              </w:rPr>
              <w:t>Gold</w:t>
            </w:r>
          </w:p>
        </w:tc>
        <w:tc>
          <w:tcPr>
            <w:tcW w:w="1701" w:type="dxa"/>
            <w:gridSpan w:val="3"/>
            <w:tcBorders>
              <w:top w:val="single" w:sz="4" w:space="0" w:color="auto"/>
              <w:left w:val="single" w:sz="4" w:space="0" w:color="auto"/>
              <w:bottom w:val="single" w:sz="4" w:space="0" w:color="auto"/>
              <w:right w:val="single" w:sz="4" w:space="0" w:color="auto"/>
            </w:tcBorders>
          </w:tcPr>
          <w:p w14:paraId="418C6464"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b/>
                <w:iCs/>
              </w:rPr>
              <w:t>Diamond</w:t>
            </w:r>
          </w:p>
        </w:tc>
        <w:tc>
          <w:tcPr>
            <w:tcW w:w="1701" w:type="dxa"/>
            <w:gridSpan w:val="4"/>
            <w:tcBorders>
              <w:top w:val="single" w:sz="4" w:space="0" w:color="auto"/>
              <w:left w:val="single" w:sz="4" w:space="0" w:color="auto"/>
              <w:bottom w:val="single" w:sz="4" w:space="0" w:color="auto"/>
              <w:right w:val="single" w:sz="4" w:space="0" w:color="auto"/>
            </w:tcBorders>
          </w:tcPr>
          <w:p w14:paraId="41F42260"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b/>
                <w:iCs/>
              </w:rPr>
              <w:t>Platinum</w:t>
            </w:r>
          </w:p>
        </w:tc>
        <w:tc>
          <w:tcPr>
            <w:tcW w:w="1576" w:type="dxa"/>
            <w:gridSpan w:val="2"/>
            <w:tcBorders>
              <w:top w:val="single" w:sz="4" w:space="0" w:color="auto"/>
              <w:left w:val="single" w:sz="4" w:space="0" w:color="auto"/>
              <w:bottom w:val="single" w:sz="4" w:space="0" w:color="auto"/>
              <w:right w:val="single" w:sz="4" w:space="0" w:color="auto"/>
            </w:tcBorders>
          </w:tcPr>
          <w:p w14:paraId="4DD792BE"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b/>
                <w:iCs/>
              </w:rPr>
              <w:t>Rhodium</w:t>
            </w:r>
          </w:p>
        </w:tc>
      </w:tr>
      <w:tr w:rsidR="00F91B1E" w:rsidRPr="00453F31" w14:paraId="660D648B"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4F54115A" w14:textId="77777777" w:rsidR="00F91B1E" w:rsidRPr="00453F31" w:rsidRDefault="00F91B1E" w:rsidP="00A3243E">
            <w:pPr>
              <w:pStyle w:val="NoSpacing"/>
              <w:jc w:val="both"/>
              <w:rPr>
                <w:rFonts w:ascii="Arial" w:eastAsia="Calibri" w:hAnsi="Arial" w:cs="Arial"/>
                <w:b/>
                <w:iCs/>
                <w:sz w:val="24"/>
                <w:szCs w:val="24"/>
              </w:rPr>
            </w:pPr>
            <w:r w:rsidRPr="00453F31">
              <w:rPr>
                <w:rFonts w:ascii="Arial" w:eastAsia="Calibri" w:hAnsi="Arial" w:cs="Arial"/>
                <w:bCs/>
                <w:iCs/>
                <w:sz w:val="24"/>
                <w:szCs w:val="24"/>
              </w:rPr>
              <w:t xml:space="preserve">Personal Accident Insurance (Death) Cover (PAI) </w:t>
            </w:r>
          </w:p>
        </w:tc>
        <w:tc>
          <w:tcPr>
            <w:tcW w:w="7919" w:type="dxa"/>
            <w:gridSpan w:val="15"/>
            <w:tcBorders>
              <w:top w:val="single" w:sz="4" w:space="0" w:color="auto"/>
              <w:left w:val="single" w:sz="4" w:space="0" w:color="auto"/>
              <w:bottom w:val="single" w:sz="4" w:space="0" w:color="auto"/>
              <w:right w:val="single" w:sz="4" w:space="0" w:color="auto"/>
            </w:tcBorders>
          </w:tcPr>
          <w:p w14:paraId="672A8A6D"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Rs.100 lakh</w:t>
            </w:r>
          </w:p>
        </w:tc>
      </w:tr>
      <w:tr w:rsidR="00F91B1E" w:rsidRPr="00453F31" w14:paraId="6463367E"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2AD70662"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lastRenderedPageBreak/>
              <w:t>Permanent Total Disability Cover (PTD)</w:t>
            </w:r>
          </w:p>
        </w:tc>
        <w:tc>
          <w:tcPr>
            <w:tcW w:w="7919" w:type="dxa"/>
            <w:gridSpan w:val="15"/>
            <w:tcBorders>
              <w:top w:val="single" w:sz="4" w:space="0" w:color="auto"/>
              <w:left w:val="single" w:sz="4" w:space="0" w:color="auto"/>
              <w:bottom w:val="single" w:sz="4" w:space="0" w:color="auto"/>
              <w:right w:val="single" w:sz="4" w:space="0" w:color="auto"/>
            </w:tcBorders>
          </w:tcPr>
          <w:p w14:paraId="161CA7EF"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Up to Rs.100 lakh</w:t>
            </w:r>
          </w:p>
        </w:tc>
      </w:tr>
      <w:tr w:rsidR="00F91B1E" w:rsidRPr="00453F31" w14:paraId="1E266392"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4D2E623B" w14:textId="77777777" w:rsidR="00F91B1E" w:rsidRPr="00453F31" w:rsidRDefault="00F91B1E" w:rsidP="00A3243E">
            <w:pPr>
              <w:pStyle w:val="NoSpacing"/>
              <w:jc w:val="both"/>
              <w:rPr>
                <w:rFonts w:ascii="Arial" w:eastAsia="Calibri" w:hAnsi="Arial" w:cs="Arial"/>
                <w:bCs/>
                <w:iCs/>
                <w:sz w:val="24"/>
                <w:szCs w:val="24"/>
              </w:rPr>
            </w:pPr>
            <w:r w:rsidRPr="00453F31">
              <w:rPr>
                <w:rFonts w:ascii="Arial" w:eastAsia="Calibri" w:hAnsi="Arial" w:cs="Arial"/>
                <w:bCs/>
                <w:iCs/>
                <w:sz w:val="24"/>
                <w:szCs w:val="24"/>
              </w:rPr>
              <w:t>Permanent Partial Disability Cover (PPD)</w:t>
            </w:r>
          </w:p>
        </w:tc>
        <w:tc>
          <w:tcPr>
            <w:tcW w:w="7919" w:type="dxa"/>
            <w:gridSpan w:val="15"/>
            <w:tcBorders>
              <w:top w:val="single" w:sz="4" w:space="0" w:color="auto"/>
              <w:left w:val="single" w:sz="4" w:space="0" w:color="auto"/>
              <w:bottom w:val="single" w:sz="4" w:space="0" w:color="auto"/>
              <w:right w:val="single" w:sz="4" w:space="0" w:color="auto"/>
            </w:tcBorders>
          </w:tcPr>
          <w:p w14:paraId="077B3ED7"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Up to Rs.80 lakh</w:t>
            </w:r>
          </w:p>
        </w:tc>
      </w:tr>
      <w:tr w:rsidR="00F91B1E" w:rsidRPr="00453F31" w14:paraId="6E8CD628" w14:textId="77777777" w:rsidTr="00A3243E">
        <w:trPr>
          <w:trHeight w:val="29"/>
        </w:trPr>
        <w:tc>
          <w:tcPr>
            <w:tcW w:w="10660" w:type="dxa"/>
            <w:gridSpan w:val="18"/>
            <w:tcBorders>
              <w:top w:val="single" w:sz="4" w:space="0" w:color="auto"/>
              <w:left w:val="single" w:sz="4" w:space="0" w:color="auto"/>
              <w:bottom w:val="single" w:sz="4" w:space="0" w:color="auto"/>
              <w:right w:val="single" w:sz="4" w:space="0" w:color="auto"/>
            </w:tcBorders>
          </w:tcPr>
          <w:p w14:paraId="41C6AAFC" w14:textId="77777777" w:rsidR="00F91B1E" w:rsidRPr="00453F31" w:rsidRDefault="00F91B1E" w:rsidP="00A3243E">
            <w:pPr>
              <w:jc w:val="both"/>
              <w:rPr>
                <w:rFonts w:ascii="Arial" w:hAnsi="Arial" w:cs="Arial"/>
              </w:rPr>
            </w:pPr>
            <w:r w:rsidRPr="00453F31">
              <w:rPr>
                <w:rFonts w:ascii="Arial" w:hAnsi="Arial" w:cs="Arial"/>
                <w:b/>
                <w:bCs/>
              </w:rPr>
              <w:t>Add-on Insurance Covers: Applicable on admissibility of Personal Accidental Insurance (Death) Cover-</w:t>
            </w:r>
            <w:r w:rsidRPr="00453F31">
              <w:rPr>
                <w:rFonts w:ascii="Arial" w:eastAsia="Calibri" w:hAnsi="Arial" w:cs="Arial"/>
                <w:iCs/>
              </w:rPr>
              <w:t xml:space="preserve"> Available as per the Insurance Policy provisions</w:t>
            </w:r>
          </w:p>
          <w:p w14:paraId="7D9A624E"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Plastic Surgery in Burn Cases: Maximum up to ₹ 10 lakh</w:t>
            </w:r>
          </w:p>
          <w:p w14:paraId="26BA4598" w14:textId="77777777" w:rsidR="00F91B1E" w:rsidRPr="00453F31" w:rsidRDefault="00F91B1E" w:rsidP="00A3243E">
            <w:pPr>
              <w:pStyle w:val="ListParagraph"/>
              <w:numPr>
                <w:ilvl w:val="0"/>
                <w:numId w:val="3"/>
              </w:numPr>
              <w:spacing w:after="200" w:line="276" w:lineRule="auto"/>
              <w:jc w:val="both"/>
              <w:rPr>
                <w:rFonts w:ascii="Arial" w:hAnsi="Arial" w:cs="Arial"/>
              </w:rPr>
            </w:pPr>
            <w:r>
              <w:rPr>
                <w:rFonts w:ascii="Arial" w:hAnsi="Arial" w:cs="Arial"/>
              </w:rPr>
              <w:t xml:space="preserve">Transportation of </w:t>
            </w:r>
            <w:r w:rsidRPr="00453F31">
              <w:rPr>
                <w:rFonts w:ascii="Arial" w:hAnsi="Arial" w:cs="Arial"/>
              </w:rPr>
              <w:t>Import</w:t>
            </w:r>
            <w:r>
              <w:rPr>
                <w:rFonts w:ascii="Arial" w:hAnsi="Arial" w:cs="Arial"/>
              </w:rPr>
              <w:t>ed</w:t>
            </w:r>
            <w:r w:rsidRPr="00453F31">
              <w:rPr>
                <w:rFonts w:ascii="Arial" w:hAnsi="Arial" w:cs="Arial"/>
              </w:rPr>
              <w:t xml:space="preserve"> medicine: Maximum up to ₹ 5 lakh</w:t>
            </w:r>
          </w:p>
          <w:p w14:paraId="530CAA6A"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Ambulance Charges: Maximum up to ₹ 50,000/-</w:t>
            </w:r>
          </w:p>
          <w:p w14:paraId="27F28850"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Air Ambulance Cover: Maximum up to ₹ 10 lakh</w:t>
            </w:r>
          </w:p>
          <w:p w14:paraId="1E643CCE"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0611FD">
              <w:rPr>
                <w:rFonts w:ascii="Arial" w:hAnsi="Arial" w:cs="Arial"/>
                <w:b/>
                <w:bCs/>
              </w:rPr>
              <w:t>Child Higher Education Cover</w:t>
            </w:r>
            <w:r w:rsidRPr="00453F31">
              <w:rPr>
                <w:rFonts w:ascii="Arial" w:hAnsi="Arial" w:cs="Arial"/>
              </w:rPr>
              <w:t xml:space="preserve"> (for Graduation) age between 18-25 years – 25% of entitled PAI cover (If PAI claim is found admissible) – </w:t>
            </w:r>
            <w:proofErr w:type="spellStart"/>
            <w:r w:rsidRPr="00453F31">
              <w:rPr>
                <w:rFonts w:ascii="Arial" w:hAnsi="Arial" w:cs="Arial"/>
              </w:rPr>
              <w:t>Upto</w:t>
            </w:r>
            <w:proofErr w:type="spellEnd"/>
            <w:r w:rsidRPr="00453F31">
              <w:rPr>
                <w:rFonts w:ascii="Arial" w:hAnsi="Arial" w:cs="Arial"/>
              </w:rPr>
              <w:t xml:space="preserve"> ₹8 lakh for Male Child and </w:t>
            </w:r>
            <w:proofErr w:type="spellStart"/>
            <w:r w:rsidRPr="00453F31">
              <w:rPr>
                <w:rFonts w:ascii="Arial" w:hAnsi="Arial" w:cs="Arial"/>
              </w:rPr>
              <w:t>Upto</w:t>
            </w:r>
            <w:proofErr w:type="spellEnd"/>
            <w:r w:rsidRPr="00453F31">
              <w:rPr>
                <w:rFonts w:ascii="Arial" w:hAnsi="Arial" w:cs="Arial"/>
              </w:rPr>
              <w:t xml:space="preserve"> ₹10 lak</w:t>
            </w:r>
            <w:r>
              <w:rPr>
                <w:rFonts w:ascii="Arial" w:hAnsi="Arial" w:cs="Arial"/>
              </w:rPr>
              <w:t>h</w:t>
            </w:r>
            <w:r w:rsidRPr="00453F31">
              <w:rPr>
                <w:rFonts w:ascii="Arial" w:hAnsi="Arial" w:cs="Arial"/>
              </w:rPr>
              <w:t xml:space="preserve"> for Girl Child, for one child only</w:t>
            </w:r>
          </w:p>
          <w:p w14:paraId="067D7937"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0611FD">
              <w:rPr>
                <w:rFonts w:ascii="Arial" w:hAnsi="Arial" w:cs="Arial"/>
                <w:b/>
                <w:bCs/>
              </w:rPr>
              <w:t>Girl Child cover for Marriage</w:t>
            </w:r>
            <w:r w:rsidRPr="00453F31">
              <w:rPr>
                <w:rFonts w:ascii="Arial" w:hAnsi="Arial" w:cs="Arial"/>
              </w:rPr>
              <w:t xml:space="preserve"> – Age 18-25 years – 20% of entitled PAI cover (If PAI claim is found admissible) – Maximum ₹10 lakh for two girl children (₹5 lakh each) or ₹5 lakh for 1 Girl child.</w:t>
            </w:r>
          </w:p>
          <w:p w14:paraId="169FE64F"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Death in coma (more than 48 hours) after accident: Maximum up to ₹ 5 lakh</w:t>
            </w:r>
          </w:p>
          <w:p w14:paraId="0F532870"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Repatriation of mortal remains: Maximum up to ₹ 50,000/-</w:t>
            </w:r>
          </w:p>
          <w:p w14:paraId="04430BF6"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Family Transportation (cost of travel incurred by immediate 2 family members to reach place of accident): Maximum up to ₹ 50,000/-</w:t>
            </w:r>
          </w:p>
          <w:p w14:paraId="1B2E837B" w14:textId="77777777" w:rsidR="00F91B1E" w:rsidRPr="00453F31" w:rsidRDefault="00F91B1E" w:rsidP="00A3243E">
            <w:pPr>
              <w:pStyle w:val="ListParagraph"/>
              <w:numPr>
                <w:ilvl w:val="0"/>
                <w:numId w:val="3"/>
              </w:numPr>
              <w:spacing w:after="200" w:line="276" w:lineRule="auto"/>
              <w:jc w:val="both"/>
              <w:rPr>
                <w:rFonts w:ascii="Arial" w:hAnsi="Arial" w:cs="Arial"/>
              </w:rPr>
            </w:pPr>
            <w:r>
              <w:rPr>
                <w:rFonts w:ascii="Arial" w:hAnsi="Arial" w:cs="Arial"/>
              </w:rPr>
              <w:t>Personal Loan (</w:t>
            </w:r>
            <w:r w:rsidRPr="00453F31">
              <w:rPr>
                <w:rFonts w:ascii="Arial" w:hAnsi="Arial" w:cs="Arial"/>
              </w:rPr>
              <w:t>Xpress credit loan</w:t>
            </w:r>
            <w:r>
              <w:rPr>
                <w:rFonts w:ascii="Arial" w:hAnsi="Arial" w:cs="Arial"/>
              </w:rPr>
              <w:t>)</w:t>
            </w:r>
            <w:r w:rsidRPr="00453F31">
              <w:rPr>
                <w:rFonts w:ascii="Arial" w:hAnsi="Arial" w:cs="Arial"/>
              </w:rPr>
              <w:t xml:space="preserve">insurance cover for SBI loan accounts (Police personnel covered under PSP only) death in action against Anti National activities/ Terrorist / Naxalite/ Foreign enemy / Ambush- Up to ₹10 lakh </w:t>
            </w:r>
          </w:p>
          <w:p w14:paraId="6276D87A"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rPr>
              <w:t>Additional PAI cover for PSP – death in action against Anti National activities/ Terrorist / Naxalite/ Foreign enemy / Ambush - ₹10 lakh</w:t>
            </w:r>
          </w:p>
          <w:p w14:paraId="045BB583" w14:textId="77777777" w:rsidR="00F91B1E" w:rsidRPr="00453F31" w:rsidRDefault="00F91B1E" w:rsidP="00A3243E">
            <w:pPr>
              <w:pStyle w:val="ListParagraph"/>
              <w:numPr>
                <w:ilvl w:val="0"/>
                <w:numId w:val="3"/>
              </w:numPr>
              <w:spacing w:after="200" w:line="276" w:lineRule="auto"/>
              <w:jc w:val="both"/>
              <w:rPr>
                <w:rFonts w:ascii="Arial" w:hAnsi="Arial" w:cs="Arial"/>
              </w:rPr>
            </w:pPr>
            <w:r w:rsidRPr="00453F31">
              <w:rPr>
                <w:rFonts w:ascii="Arial" w:hAnsi="Arial" w:cs="Arial"/>
                <w:sz w:val="24"/>
                <w:szCs w:val="24"/>
              </w:rPr>
              <w:t>Additional Cover of ₹ 10 lakh in case of death while performing official duties on foreign soil</w:t>
            </w:r>
          </w:p>
          <w:p w14:paraId="4D4F195D" w14:textId="77777777" w:rsidR="00F91B1E" w:rsidRPr="00453F31" w:rsidRDefault="00F91B1E" w:rsidP="00A3243E">
            <w:pPr>
              <w:jc w:val="both"/>
              <w:rPr>
                <w:rFonts w:ascii="Arial" w:hAnsi="Arial" w:cs="Arial"/>
              </w:rPr>
            </w:pPr>
            <w:r w:rsidRPr="00453F31">
              <w:rPr>
                <w:rFonts w:ascii="Arial" w:hAnsi="Arial" w:cs="Arial"/>
              </w:rPr>
              <w:t>Covers at S.No.11 or 12 are exclusive to each other and both will not be available together.</w:t>
            </w:r>
          </w:p>
        </w:tc>
      </w:tr>
      <w:tr w:rsidR="00F91B1E" w:rsidRPr="00453F31" w14:paraId="7AACBF20"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2C00A06A" w14:textId="77777777" w:rsidR="00F91B1E" w:rsidRPr="00453F31" w:rsidRDefault="00F91B1E" w:rsidP="00A3243E">
            <w:pPr>
              <w:pStyle w:val="NoSpacing"/>
              <w:jc w:val="both"/>
              <w:rPr>
                <w:rFonts w:ascii="Arial" w:eastAsia="Calibri" w:hAnsi="Arial" w:cs="Arial"/>
                <w:iCs/>
                <w:sz w:val="24"/>
                <w:szCs w:val="24"/>
              </w:rPr>
            </w:pPr>
            <w:r w:rsidRPr="00453F31">
              <w:rPr>
                <w:rFonts w:ascii="Arial" w:eastAsia="Calibri" w:hAnsi="Arial" w:cs="Arial"/>
                <w:iCs/>
                <w:sz w:val="24"/>
                <w:szCs w:val="24"/>
              </w:rPr>
              <w:t>Air Accidental Insurance (Death) cover (AAI)</w:t>
            </w:r>
          </w:p>
          <w:p w14:paraId="2F16BAEE" w14:textId="77777777" w:rsidR="00F91B1E" w:rsidRPr="00453F31" w:rsidRDefault="00F91B1E" w:rsidP="00A3243E">
            <w:pPr>
              <w:pStyle w:val="NoSpacing"/>
              <w:jc w:val="both"/>
              <w:rPr>
                <w:rFonts w:ascii="Arial" w:eastAsia="Calibri" w:hAnsi="Arial" w:cs="Arial"/>
                <w:iCs/>
                <w:sz w:val="24"/>
                <w:szCs w:val="24"/>
              </w:rPr>
            </w:pPr>
          </w:p>
        </w:tc>
        <w:tc>
          <w:tcPr>
            <w:tcW w:w="7919" w:type="dxa"/>
            <w:gridSpan w:val="15"/>
            <w:tcBorders>
              <w:top w:val="single" w:sz="4" w:space="0" w:color="auto"/>
              <w:left w:val="single" w:sz="4" w:space="0" w:color="auto"/>
              <w:bottom w:val="single" w:sz="4" w:space="0" w:color="auto"/>
              <w:right w:val="single" w:sz="4" w:space="0" w:color="auto"/>
            </w:tcBorders>
          </w:tcPr>
          <w:p w14:paraId="160E0DB0" w14:textId="77777777" w:rsidR="00F91B1E" w:rsidRPr="00453F31" w:rsidRDefault="00F91B1E" w:rsidP="00A3243E">
            <w:pPr>
              <w:pStyle w:val="NoSpacing"/>
              <w:jc w:val="center"/>
              <w:rPr>
                <w:rFonts w:ascii="Arial" w:eastAsia="Calibri" w:hAnsi="Arial" w:cs="Arial"/>
                <w:iCs/>
                <w:sz w:val="24"/>
                <w:szCs w:val="24"/>
              </w:rPr>
            </w:pPr>
            <w:r w:rsidRPr="00453F31">
              <w:rPr>
                <w:rFonts w:ascii="Arial" w:eastAsia="Calibri" w:hAnsi="Arial" w:cs="Arial"/>
                <w:iCs/>
                <w:sz w:val="24"/>
                <w:szCs w:val="24"/>
              </w:rPr>
              <w:t>Rs.160 lakh</w:t>
            </w:r>
          </w:p>
          <w:p w14:paraId="342FC885" w14:textId="77777777" w:rsidR="00F91B1E" w:rsidRPr="007603DE" w:rsidRDefault="00F91B1E" w:rsidP="00A3243E">
            <w:pPr>
              <w:pStyle w:val="Default"/>
              <w:jc w:val="both"/>
              <w:rPr>
                <w:rFonts w:ascii="Arial" w:hAnsi="Arial" w:cs="Arial"/>
                <w:color w:val="auto"/>
                <w:sz w:val="22"/>
                <w:szCs w:val="22"/>
              </w:rPr>
            </w:pPr>
            <w:r w:rsidRPr="007603DE">
              <w:rPr>
                <w:rFonts w:ascii="Arial" w:hAnsi="Arial" w:cs="Arial"/>
                <w:color w:val="auto"/>
                <w:sz w:val="22"/>
                <w:szCs w:val="22"/>
              </w:rPr>
              <w:t>(</w:t>
            </w:r>
            <w:proofErr w:type="spellStart"/>
            <w:r w:rsidRPr="007603DE">
              <w:rPr>
                <w:rFonts w:ascii="Arial" w:hAnsi="Arial" w:cs="Arial"/>
                <w:color w:val="auto"/>
                <w:sz w:val="22"/>
                <w:szCs w:val="22"/>
              </w:rPr>
              <w:t>i</w:t>
            </w:r>
            <w:proofErr w:type="spellEnd"/>
            <w:r w:rsidRPr="007603DE">
              <w:rPr>
                <w:rFonts w:ascii="Arial" w:hAnsi="Arial" w:cs="Arial"/>
                <w:color w:val="auto"/>
                <w:sz w:val="22"/>
                <w:szCs w:val="22"/>
              </w:rPr>
              <w:t xml:space="preserve">) If Air ticket have been purchased by debit to Police Salary Package Account through Debit Card/ Cheque / Internet Banking </w:t>
            </w:r>
            <w:r w:rsidRPr="007603DE">
              <w:rPr>
                <w:rFonts w:ascii="Arial" w:hAnsi="Arial" w:cs="Arial"/>
                <w:b/>
                <w:bCs/>
                <w:color w:val="auto"/>
                <w:sz w:val="22"/>
                <w:szCs w:val="22"/>
              </w:rPr>
              <w:t xml:space="preserve">or </w:t>
            </w:r>
          </w:p>
          <w:p w14:paraId="282C56E8" w14:textId="77777777" w:rsidR="00F91B1E" w:rsidRPr="007603DE" w:rsidRDefault="00F91B1E" w:rsidP="00A3243E">
            <w:pPr>
              <w:pStyle w:val="Default"/>
              <w:jc w:val="both"/>
              <w:rPr>
                <w:rFonts w:ascii="Arial" w:hAnsi="Arial" w:cs="Arial"/>
                <w:color w:val="auto"/>
                <w:sz w:val="22"/>
                <w:szCs w:val="22"/>
              </w:rPr>
            </w:pPr>
            <w:r w:rsidRPr="007603DE">
              <w:rPr>
                <w:rFonts w:ascii="Arial" w:hAnsi="Arial" w:cs="Arial"/>
                <w:color w:val="auto"/>
                <w:sz w:val="22"/>
                <w:szCs w:val="22"/>
              </w:rPr>
              <w:t xml:space="preserve">(ii) where ticket is not required to be purchased by the account holder (service/combat/chartered aircrafts of Department) </w:t>
            </w:r>
            <w:r w:rsidRPr="007603DE">
              <w:rPr>
                <w:rFonts w:ascii="Arial" w:hAnsi="Arial" w:cs="Arial"/>
                <w:b/>
                <w:bCs/>
                <w:color w:val="auto"/>
                <w:sz w:val="22"/>
                <w:szCs w:val="22"/>
              </w:rPr>
              <w:t xml:space="preserve">or </w:t>
            </w:r>
          </w:p>
          <w:p w14:paraId="480ECBC9" w14:textId="77777777" w:rsidR="00F91B1E" w:rsidRPr="00453F31" w:rsidRDefault="00F91B1E" w:rsidP="00A3243E">
            <w:pPr>
              <w:pStyle w:val="Default"/>
              <w:jc w:val="both"/>
              <w:rPr>
                <w:rFonts w:ascii="Arial" w:hAnsi="Arial" w:cs="Arial"/>
                <w:iCs/>
                <w:color w:val="auto"/>
              </w:rPr>
            </w:pPr>
            <w:r w:rsidRPr="007603DE">
              <w:rPr>
                <w:rFonts w:ascii="Arial" w:hAnsi="Arial" w:cs="Arial"/>
                <w:color w:val="auto"/>
                <w:sz w:val="22"/>
                <w:szCs w:val="22"/>
              </w:rPr>
              <w:t>(iii) ticket is provided by the department for official duty.</w:t>
            </w:r>
            <w:r w:rsidRPr="00453F31">
              <w:rPr>
                <w:rFonts w:ascii="Arial" w:hAnsi="Arial" w:cs="Arial"/>
                <w:color w:val="auto"/>
              </w:rPr>
              <w:t xml:space="preserve"> </w:t>
            </w:r>
          </w:p>
        </w:tc>
      </w:tr>
      <w:tr w:rsidR="00F91B1E" w:rsidRPr="00453F31" w14:paraId="4571F670"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502D180C" w14:textId="77777777" w:rsidR="00F91B1E" w:rsidRPr="00453F31" w:rsidRDefault="00F91B1E" w:rsidP="00A3243E">
            <w:pPr>
              <w:pStyle w:val="NoSpacing"/>
              <w:jc w:val="both"/>
              <w:rPr>
                <w:rFonts w:ascii="Arial" w:eastAsia="Calibri" w:hAnsi="Arial" w:cs="Arial"/>
                <w:b/>
                <w:iCs/>
                <w:sz w:val="24"/>
                <w:szCs w:val="24"/>
              </w:rPr>
            </w:pPr>
          </w:p>
        </w:tc>
        <w:tc>
          <w:tcPr>
            <w:tcW w:w="7919" w:type="dxa"/>
            <w:gridSpan w:val="15"/>
            <w:tcBorders>
              <w:top w:val="single" w:sz="4" w:space="0" w:color="auto"/>
              <w:left w:val="single" w:sz="4" w:space="0" w:color="auto"/>
              <w:bottom w:val="single" w:sz="4" w:space="0" w:color="auto"/>
              <w:right w:val="single" w:sz="4" w:space="0" w:color="auto"/>
            </w:tcBorders>
          </w:tcPr>
          <w:p w14:paraId="6D007413" w14:textId="77777777" w:rsidR="00F91B1E" w:rsidRPr="00453F31" w:rsidRDefault="00F91B1E" w:rsidP="00A3243E">
            <w:pPr>
              <w:pStyle w:val="NoSpacing"/>
              <w:jc w:val="both"/>
              <w:rPr>
                <w:rFonts w:ascii="Arial" w:eastAsia="Calibri" w:hAnsi="Arial" w:cs="Arial"/>
                <w:iCs/>
                <w:sz w:val="24"/>
                <w:szCs w:val="24"/>
              </w:rPr>
            </w:pPr>
            <w:r w:rsidRPr="00453F31">
              <w:rPr>
                <w:rFonts w:ascii="Arial" w:eastAsia="Calibri" w:hAnsi="Arial" w:cs="Arial"/>
                <w:b/>
                <w:bCs/>
                <w:iCs/>
                <w:sz w:val="24"/>
                <w:szCs w:val="24"/>
              </w:rPr>
              <w:t>*</w:t>
            </w:r>
            <w:r w:rsidRPr="00453F31">
              <w:rPr>
                <w:rFonts w:ascii="Arial" w:eastAsia="Calibri" w:hAnsi="Arial" w:cs="Arial"/>
                <w:iCs/>
                <w:sz w:val="24"/>
                <w:szCs w:val="24"/>
              </w:rPr>
              <w:t xml:space="preserve"> Insurance cover available till 03.04.2026 and continuation thereafter will be subject to review / renewal. Terms and Conditions apply.</w:t>
            </w:r>
          </w:p>
        </w:tc>
      </w:tr>
      <w:tr w:rsidR="00F91B1E" w:rsidRPr="00453F31" w14:paraId="576A36DD"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4007F224" w14:textId="77777777" w:rsidR="00F91B1E" w:rsidRPr="00453F31" w:rsidRDefault="00F91B1E" w:rsidP="00A3243E">
            <w:pPr>
              <w:pStyle w:val="NoSpacing"/>
              <w:jc w:val="both"/>
              <w:rPr>
                <w:rFonts w:ascii="Arial" w:eastAsia="Calibri" w:hAnsi="Arial" w:cs="Arial"/>
                <w:b/>
                <w:iCs/>
                <w:sz w:val="24"/>
                <w:szCs w:val="24"/>
              </w:rPr>
            </w:pPr>
            <w:r w:rsidRPr="00453F31">
              <w:rPr>
                <w:rFonts w:ascii="Arial" w:eastAsia="Calibri" w:hAnsi="Arial" w:cs="Arial"/>
                <w:bCs/>
                <w:iCs/>
                <w:sz w:val="24"/>
                <w:szCs w:val="24"/>
              </w:rPr>
              <w:t>2.5.Group Term Life Insurance (GTLI)</w:t>
            </w:r>
          </w:p>
        </w:tc>
        <w:tc>
          <w:tcPr>
            <w:tcW w:w="7919" w:type="dxa"/>
            <w:gridSpan w:val="15"/>
            <w:tcBorders>
              <w:top w:val="single" w:sz="4" w:space="0" w:color="auto"/>
              <w:left w:val="single" w:sz="4" w:space="0" w:color="auto"/>
              <w:bottom w:val="single" w:sz="4" w:space="0" w:color="auto"/>
              <w:right w:val="single" w:sz="4" w:space="0" w:color="auto"/>
            </w:tcBorders>
          </w:tcPr>
          <w:p w14:paraId="0BE1258D" w14:textId="77777777" w:rsidR="00F91B1E" w:rsidRPr="00453F31" w:rsidRDefault="00F91B1E" w:rsidP="00A3243E">
            <w:pPr>
              <w:pStyle w:val="NoSpacing"/>
              <w:jc w:val="center"/>
              <w:rPr>
                <w:rFonts w:ascii="Arial" w:eastAsia="Calibri" w:hAnsi="Arial" w:cs="Arial"/>
                <w:b/>
                <w:bCs/>
                <w:iCs/>
                <w:sz w:val="24"/>
                <w:szCs w:val="24"/>
              </w:rPr>
            </w:pPr>
            <w:r w:rsidRPr="00453F31">
              <w:rPr>
                <w:rFonts w:ascii="Arial" w:eastAsia="Calibri" w:hAnsi="Arial" w:cs="Arial"/>
                <w:iCs/>
                <w:sz w:val="24"/>
                <w:szCs w:val="24"/>
              </w:rPr>
              <w:t>Rs.10 lakh</w:t>
            </w:r>
          </w:p>
        </w:tc>
      </w:tr>
      <w:tr w:rsidR="00F91B1E" w:rsidRPr="00453F31" w14:paraId="22D18711" w14:textId="77777777" w:rsidTr="00A3243E">
        <w:trPr>
          <w:trHeight w:val="29"/>
        </w:trPr>
        <w:tc>
          <w:tcPr>
            <w:tcW w:w="10660" w:type="dxa"/>
            <w:gridSpan w:val="18"/>
            <w:tcBorders>
              <w:top w:val="single" w:sz="4" w:space="0" w:color="auto"/>
              <w:left w:val="single" w:sz="4" w:space="0" w:color="auto"/>
              <w:bottom w:val="single" w:sz="4" w:space="0" w:color="auto"/>
              <w:right w:val="single" w:sz="4" w:space="0" w:color="auto"/>
            </w:tcBorders>
          </w:tcPr>
          <w:p w14:paraId="20C78F4F" w14:textId="77777777" w:rsidR="00F91B1E" w:rsidRPr="00453F31" w:rsidRDefault="00F91B1E" w:rsidP="00A3243E">
            <w:pPr>
              <w:pStyle w:val="NoSpacing"/>
              <w:jc w:val="both"/>
              <w:rPr>
                <w:rFonts w:ascii="Arial" w:eastAsia="Calibri" w:hAnsi="Arial" w:cs="Arial"/>
                <w:iCs/>
                <w:sz w:val="24"/>
                <w:szCs w:val="24"/>
              </w:rPr>
            </w:pPr>
            <w:r w:rsidRPr="00453F31">
              <w:rPr>
                <w:rFonts w:ascii="Arial" w:hAnsi="Arial" w:cs="Arial"/>
                <w:b/>
                <w:bCs/>
              </w:rPr>
              <w:t>2.6.Concession in Processing Charges on Loan to PSP account holders (Serving Personnel)*</w:t>
            </w:r>
          </w:p>
        </w:tc>
      </w:tr>
      <w:tr w:rsidR="00F91B1E" w:rsidRPr="00453F31" w14:paraId="2980303F"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5B3767F2" w14:textId="77777777" w:rsidR="00F91B1E" w:rsidRPr="00453F31" w:rsidRDefault="00F91B1E" w:rsidP="00A3243E">
            <w:pPr>
              <w:pStyle w:val="NoSpacing"/>
              <w:jc w:val="both"/>
              <w:rPr>
                <w:rFonts w:ascii="Arial" w:eastAsia="Calibri" w:hAnsi="Arial" w:cs="Arial"/>
                <w:b/>
                <w:iCs/>
                <w:sz w:val="24"/>
                <w:szCs w:val="24"/>
              </w:rPr>
            </w:pPr>
            <w:r w:rsidRPr="00453F31">
              <w:rPr>
                <w:rFonts w:ascii="Arial" w:hAnsi="Arial" w:cs="Arial"/>
                <w:sz w:val="24"/>
                <w:szCs w:val="24"/>
              </w:rPr>
              <w:t>Home Loan</w:t>
            </w:r>
            <w:r>
              <w:rPr>
                <w:rFonts w:ascii="Arial" w:hAnsi="Arial" w:cs="Arial"/>
                <w:sz w:val="24"/>
                <w:szCs w:val="24"/>
              </w:rPr>
              <w:t>*</w:t>
            </w:r>
          </w:p>
        </w:tc>
        <w:tc>
          <w:tcPr>
            <w:tcW w:w="7919" w:type="dxa"/>
            <w:gridSpan w:val="15"/>
            <w:tcBorders>
              <w:top w:val="single" w:sz="4" w:space="0" w:color="auto"/>
              <w:left w:val="single" w:sz="4" w:space="0" w:color="auto"/>
              <w:bottom w:val="single" w:sz="4" w:space="0" w:color="auto"/>
              <w:right w:val="single" w:sz="4" w:space="0" w:color="auto"/>
            </w:tcBorders>
          </w:tcPr>
          <w:p w14:paraId="779BA7C5" w14:textId="77777777" w:rsidR="00F91B1E" w:rsidRPr="00453F31" w:rsidRDefault="00F91B1E" w:rsidP="00A3243E">
            <w:pPr>
              <w:pStyle w:val="NoSpacing"/>
              <w:jc w:val="both"/>
              <w:rPr>
                <w:rFonts w:ascii="Arial" w:eastAsia="Calibri" w:hAnsi="Arial" w:cs="Arial"/>
                <w:i/>
                <w:iCs/>
                <w:sz w:val="24"/>
                <w:szCs w:val="24"/>
              </w:rPr>
            </w:pPr>
            <w:r w:rsidRPr="00453F31">
              <w:rPr>
                <w:rFonts w:ascii="Arial" w:hAnsi="Arial" w:cs="Arial"/>
                <w:sz w:val="24"/>
                <w:szCs w:val="24"/>
              </w:rPr>
              <w:t>Processing Fee: 100% concession (Charges for TIR, Valuation, CERSAI, CIBIL charges etc., to be recovered).</w:t>
            </w:r>
          </w:p>
        </w:tc>
      </w:tr>
      <w:tr w:rsidR="00F91B1E" w:rsidRPr="00453F31" w14:paraId="5A557EF2"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35C7A825" w14:textId="77777777" w:rsidR="00F91B1E" w:rsidRPr="00453F31" w:rsidRDefault="00F91B1E" w:rsidP="00A3243E">
            <w:pPr>
              <w:pStyle w:val="NoSpacing"/>
              <w:jc w:val="both"/>
              <w:rPr>
                <w:rFonts w:ascii="Arial" w:eastAsia="Calibri" w:hAnsi="Arial" w:cs="Arial"/>
                <w:b/>
                <w:iCs/>
                <w:sz w:val="24"/>
                <w:szCs w:val="24"/>
              </w:rPr>
            </w:pPr>
            <w:r w:rsidRPr="00453F31">
              <w:rPr>
                <w:rFonts w:ascii="Arial" w:hAnsi="Arial" w:cs="Arial"/>
                <w:sz w:val="24"/>
                <w:szCs w:val="24"/>
              </w:rPr>
              <w:t xml:space="preserve">Car Loan </w:t>
            </w:r>
            <w:r>
              <w:rPr>
                <w:rFonts w:ascii="Arial" w:hAnsi="Arial" w:cs="Arial"/>
                <w:sz w:val="24"/>
                <w:szCs w:val="24"/>
              </w:rPr>
              <w:t>*</w:t>
            </w:r>
          </w:p>
        </w:tc>
        <w:tc>
          <w:tcPr>
            <w:tcW w:w="7919" w:type="dxa"/>
            <w:gridSpan w:val="15"/>
            <w:tcBorders>
              <w:top w:val="single" w:sz="4" w:space="0" w:color="auto"/>
              <w:left w:val="single" w:sz="4" w:space="0" w:color="auto"/>
              <w:bottom w:val="single" w:sz="4" w:space="0" w:color="auto"/>
              <w:right w:val="single" w:sz="4" w:space="0" w:color="auto"/>
            </w:tcBorders>
          </w:tcPr>
          <w:p w14:paraId="478A6351" w14:textId="77777777" w:rsidR="00F91B1E" w:rsidRPr="00453F31" w:rsidRDefault="00F91B1E" w:rsidP="00A3243E">
            <w:pPr>
              <w:rPr>
                <w:rFonts w:ascii="Arial" w:hAnsi="Arial" w:cs="Arial"/>
              </w:rPr>
            </w:pPr>
            <w:r w:rsidRPr="00453F31">
              <w:rPr>
                <w:rFonts w:ascii="Arial" w:hAnsi="Arial" w:cs="Arial"/>
              </w:rPr>
              <w:t>Processing Fee: 50 % concession of Card Rate or ₹ 500/-, whichever is more is chargeable</w:t>
            </w:r>
          </w:p>
          <w:p w14:paraId="2310E608" w14:textId="77777777" w:rsidR="00F91B1E" w:rsidRPr="00453F31" w:rsidRDefault="00F91B1E" w:rsidP="00A3243E">
            <w:pPr>
              <w:rPr>
                <w:rFonts w:ascii="Arial" w:hAnsi="Arial" w:cs="Arial"/>
                <w:i/>
                <w:iCs/>
              </w:rPr>
            </w:pPr>
            <w:r w:rsidRPr="00453F31">
              <w:rPr>
                <w:rFonts w:ascii="Arial" w:hAnsi="Arial" w:cs="Arial"/>
              </w:rPr>
              <w:t>Relaxation in</w:t>
            </w:r>
            <w:r w:rsidRPr="00453F31">
              <w:rPr>
                <w:rFonts w:ascii="Arial" w:hAnsi="Arial" w:cs="Arial"/>
                <w:b/>
                <w:bCs/>
              </w:rPr>
              <w:t xml:space="preserve"> </w:t>
            </w:r>
            <w:r w:rsidRPr="00453F31">
              <w:rPr>
                <w:rFonts w:ascii="Arial" w:hAnsi="Arial" w:cs="Arial"/>
              </w:rPr>
              <w:t>Margin: 5% concession (LTV Subject to maximum of 100% of ex-showroom price of the vehicle)</w:t>
            </w:r>
          </w:p>
        </w:tc>
      </w:tr>
      <w:tr w:rsidR="00F91B1E" w:rsidRPr="00453F31" w14:paraId="32933E1B"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1CF3F30A" w14:textId="77777777" w:rsidR="00F91B1E" w:rsidRPr="00453F31" w:rsidRDefault="00F91B1E" w:rsidP="00A3243E">
            <w:pPr>
              <w:pStyle w:val="NoSpacing"/>
              <w:jc w:val="both"/>
              <w:rPr>
                <w:rFonts w:ascii="Arial" w:eastAsia="Calibri" w:hAnsi="Arial" w:cs="Arial"/>
                <w:b/>
                <w:sz w:val="24"/>
                <w:szCs w:val="24"/>
              </w:rPr>
            </w:pPr>
            <w:r w:rsidRPr="00453F31">
              <w:rPr>
                <w:rFonts w:ascii="Arial" w:hAnsi="Arial" w:cs="Arial"/>
                <w:sz w:val="24"/>
                <w:szCs w:val="24"/>
              </w:rPr>
              <w:t xml:space="preserve"> SBI Personal Loan (erstwhile Xpress Credit)</w:t>
            </w:r>
            <w:r>
              <w:rPr>
                <w:rFonts w:ascii="Arial" w:hAnsi="Arial" w:cs="Arial"/>
                <w:sz w:val="24"/>
                <w:szCs w:val="24"/>
              </w:rPr>
              <w:t>*</w:t>
            </w:r>
          </w:p>
        </w:tc>
        <w:tc>
          <w:tcPr>
            <w:tcW w:w="7919" w:type="dxa"/>
            <w:gridSpan w:val="15"/>
            <w:tcBorders>
              <w:top w:val="single" w:sz="4" w:space="0" w:color="auto"/>
              <w:left w:val="single" w:sz="4" w:space="0" w:color="auto"/>
              <w:bottom w:val="single" w:sz="4" w:space="0" w:color="auto"/>
              <w:right w:val="single" w:sz="4" w:space="0" w:color="auto"/>
            </w:tcBorders>
          </w:tcPr>
          <w:p w14:paraId="55BF9A67" w14:textId="77777777" w:rsidR="00F91B1E" w:rsidRPr="00453F31" w:rsidRDefault="00F91B1E" w:rsidP="00A3243E">
            <w:pPr>
              <w:rPr>
                <w:rFonts w:ascii="Arial" w:hAnsi="Arial" w:cs="Arial"/>
              </w:rPr>
            </w:pPr>
            <w:r w:rsidRPr="00453F31">
              <w:rPr>
                <w:rFonts w:ascii="Arial" w:hAnsi="Arial" w:cs="Arial"/>
              </w:rPr>
              <w:t>Processing Fee: 50 % concession +GST</w:t>
            </w:r>
          </w:p>
        </w:tc>
      </w:tr>
      <w:tr w:rsidR="00F91B1E" w:rsidRPr="00453F31" w14:paraId="4612DB98" w14:textId="77777777" w:rsidTr="00A3243E">
        <w:trPr>
          <w:trHeight w:val="29"/>
        </w:trPr>
        <w:tc>
          <w:tcPr>
            <w:tcW w:w="2741" w:type="dxa"/>
            <w:gridSpan w:val="3"/>
            <w:tcBorders>
              <w:top w:val="single" w:sz="4" w:space="0" w:color="auto"/>
              <w:left w:val="single" w:sz="4" w:space="0" w:color="auto"/>
              <w:bottom w:val="single" w:sz="4" w:space="0" w:color="auto"/>
              <w:right w:val="single" w:sz="4" w:space="0" w:color="auto"/>
            </w:tcBorders>
          </w:tcPr>
          <w:p w14:paraId="55C25FBC" w14:textId="77777777" w:rsidR="00F91B1E" w:rsidRPr="00453F31" w:rsidRDefault="00F91B1E" w:rsidP="00A3243E">
            <w:pPr>
              <w:pStyle w:val="NoSpacing"/>
              <w:jc w:val="both"/>
              <w:rPr>
                <w:rFonts w:ascii="Arial" w:hAnsi="Arial" w:cs="Arial"/>
                <w:sz w:val="24"/>
                <w:szCs w:val="24"/>
              </w:rPr>
            </w:pPr>
          </w:p>
        </w:tc>
        <w:tc>
          <w:tcPr>
            <w:tcW w:w="7919" w:type="dxa"/>
            <w:gridSpan w:val="15"/>
            <w:tcBorders>
              <w:top w:val="single" w:sz="4" w:space="0" w:color="auto"/>
              <w:left w:val="single" w:sz="4" w:space="0" w:color="auto"/>
              <w:bottom w:val="single" w:sz="4" w:space="0" w:color="auto"/>
              <w:right w:val="single" w:sz="4" w:space="0" w:color="auto"/>
            </w:tcBorders>
          </w:tcPr>
          <w:p w14:paraId="1CDF858B" w14:textId="77777777" w:rsidR="00F91B1E" w:rsidRPr="00453F31" w:rsidRDefault="00F91B1E" w:rsidP="00A3243E">
            <w:pPr>
              <w:rPr>
                <w:rFonts w:ascii="Arial" w:hAnsi="Arial" w:cs="Arial"/>
              </w:rPr>
            </w:pPr>
            <w:r w:rsidRPr="00453F31">
              <w:rPr>
                <w:rFonts w:ascii="Arial" w:hAnsi="Arial" w:cs="Arial"/>
              </w:rPr>
              <w:t>*subject to revision from time to time</w:t>
            </w:r>
          </w:p>
        </w:tc>
      </w:tr>
      <w:tr w:rsidR="00F91B1E" w:rsidRPr="00453F31" w14:paraId="1738378E" w14:textId="77777777" w:rsidTr="00A3243E">
        <w:trPr>
          <w:trHeight w:val="29"/>
        </w:trPr>
        <w:tc>
          <w:tcPr>
            <w:tcW w:w="10660" w:type="dxa"/>
            <w:gridSpan w:val="18"/>
            <w:tcBorders>
              <w:top w:val="single" w:sz="4" w:space="0" w:color="auto"/>
              <w:left w:val="single" w:sz="4" w:space="0" w:color="auto"/>
              <w:bottom w:val="single" w:sz="4" w:space="0" w:color="auto"/>
              <w:right w:val="single" w:sz="4" w:space="0" w:color="auto"/>
            </w:tcBorders>
          </w:tcPr>
          <w:p w14:paraId="5C7F359A" w14:textId="77777777" w:rsidR="00F91B1E" w:rsidRPr="00453F31" w:rsidRDefault="00F91B1E" w:rsidP="00A3243E">
            <w:pPr>
              <w:jc w:val="both"/>
              <w:rPr>
                <w:rFonts w:ascii="Arial" w:hAnsi="Arial" w:cs="Arial"/>
                <w:i/>
                <w:iCs/>
              </w:rPr>
            </w:pPr>
            <w:r w:rsidRPr="00453F31">
              <w:rPr>
                <w:rFonts w:ascii="Arial Narrow" w:hAnsi="Arial Narrow" w:cs="Arial"/>
                <w:b/>
              </w:rPr>
              <w:t xml:space="preserve">2.7.Super Top-up Health Insurance : </w:t>
            </w:r>
            <w:r w:rsidRPr="00453F31">
              <w:rPr>
                <w:rFonts w:ascii="Arial" w:hAnsi="Arial" w:cs="Arial"/>
                <w:sz w:val="20"/>
              </w:rPr>
              <w:t>Super Top up Health insurance Plan for (1 Adult, 2 Adult , 2 Adult + 1 Child and 2 Adult + 2 Child)  plan with Sum Insured option ₹15 lakh with ₹2 lakh deductible and ₹30 Lakh with ₹3 lakh aggregate deductible by Bajaj Allianz General Insurance Co ltd. on individual payment basis Premium table (including Tax) with Sum Insured and deductibles is as below. (To be borne by customer)</w:t>
            </w:r>
          </w:p>
        </w:tc>
      </w:tr>
      <w:tr w:rsidR="00F91B1E" w:rsidRPr="00453F31" w14:paraId="7BA612E5" w14:textId="77777777" w:rsidTr="00A3243E">
        <w:trPr>
          <w:trHeight w:val="29"/>
        </w:trPr>
        <w:tc>
          <w:tcPr>
            <w:tcW w:w="1776" w:type="dxa"/>
            <w:vMerge w:val="restart"/>
            <w:tcBorders>
              <w:top w:val="single" w:sz="4" w:space="0" w:color="auto"/>
              <w:left w:val="single" w:sz="4" w:space="0" w:color="auto"/>
              <w:right w:val="single" w:sz="4" w:space="0" w:color="auto"/>
            </w:tcBorders>
          </w:tcPr>
          <w:p w14:paraId="62B7F78F" w14:textId="77777777" w:rsidR="00F91B1E" w:rsidRPr="00453F31" w:rsidRDefault="00F91B1E" w:rsidP="00A3243E">
            <w:pPr>
              <w:rPr>
                <w:rFonts w:ascii="Arial Narrow" w:hAnsi="Arial Narrow" w:cs="Arial"/>
                <w:b/>
              </w:rPr>
            </w:pPr>
            <w:r w:rsidRPr="00453F31">
              <w:rPr>
                <w:rFonts w:ascii="Arial Narrow" w:hAnsi="Arial Narrow" w:cs="Arial"/>
                <w:bCs/>
              </w:rPr>
              <w:t>Super Top up Health Insurance Policy</w:t>
            </w:r>
          </w:p>
        </w:tc>
        <w:tc>
          <w:tcPr>
            <w:tcW w:w="1777" w:type="dxa"/>
            <w:gridSpan w:val="3"/>
            <w:tcBorders>
              <w:top w:val="single" w:sz="4" w:space="0" w:color="auto"/>
              <w:left w:val="single" w:sz="4" w:space="0" w:color="auto"/>
              <w:bottom w:val="single" w:sz="4" w:space="0" w:color="auto"/>
              <w:right w:val="single" w:sz="4" w:space="0" w:color="auto"/>
            </w:tcBorders>
          </w:tcPr>
          <w:p w14:paraId="46A112E6" w14:textId="77777777" w:rsidR="00F91B1E" w:rsidRPr="00453F31" w:rsidRDefault="00F91B1E" w:rsidP="00A3243E">
            <w:pPr>
              <w:jc w:val="center"/>
              <w:rPr>
                <w:rFonts w:ascii="Arial Narrow" w:hAnsi="Arial Narrow" w:cs="Arial"/>
                <w:b/>
              </w:rPr>
            </w:pPr>
            <w:r w:rsidRPr="00453F31">
              <w:rPr>
                <w:rFonts w:ascii="Arial Narrow" w:hAnsi="Arial Narrow" w:cs="Arial"/>
                <w:b/>
                <w:bCs/>
              </w:rPr>
              <w:t>Sum Insured/ Deductible</w:t>
            </w:r>
          </w:p>
        </w:tc>
        <w:tc>
          <w:tcPr>
            <w:tcW w:w="1777" w:type="dxa"/>
            <w:gridSpan w:val="4"/>
            <w:tcBorders>
              <w:top w:val="single" w:sz="4" w:space="0" w:color="auto"/>
              <w:left w:val="single" w:sz="4" w:space="0" w:color="auto"/>
              <w:bottom w:val="single" w:sz="4" w:space="0" w:color="auto"/>
              <w:right w:val="single" w:sz="4" w:space="0" w:color="auto"/>
            </w:tcBorders>
          </w:tcPr>
          <w:p w14:paraId="2C5ED540" w14:textId="77777777" w:rsidR="00F91B1E" w:rsidRPr="00453F31" w:rsidRDefault="00F91B1E" w:rsidP="00A3243E">
            <w:pPr>
              <w:jc w:val="center"/>
              <w:rPr>
                <w:rFonts w:ascii="Arial Narrow" w:hAnsi="Arial Narrow" w:cs="Arial"/>
                <w:b/>
              </w:rPr>
            </w:pPr>
            <w:r w:rsidRPr="00453F31">
              <w:rPr>
                <w:rFonts w:ascii="Arial Narrow" w:hAnsi="Arial Narrow" w:cs="Arial"/>
                <w:b/>
                <w:bCs/>
              </w:rPr>
              <w:t xml:space="preserve">1A </w:t>
            </w:r>
            <w:r w:rsidRPr="00453F31">
              <w:rPr>
                <w:rFonts w:ascii="Arial Narrow" w:hAnsi="Arial Narrow" w:cs="Arial"/>
                <w:sz w:val="18"/>
                <w:szCs w:val="18"/>
              </w:rPr>
              <w:t>(Premium)</w:t>
            </w:r>
          </w:p>
        </w:tc>
        <w:tc>
          <w:tcPr>
            <w:tcW w:w="1776" w:type="dxa"/>
            <w:gridSpan w:val="3"/>
            <w:tcBorders>
              <w:top w:val="single" w:sz="4" w:space="0" w:color="auto"/>
              <w:left w:val="single" w:sz="4" w:space="0" w:color="auto"/>
              <w:bottom w:val="single" w:sz="4" w:space="0" w:color="auto"/>
              <w:right w:val="single" w:sz="4" w:space="0" w:color="auto"/>
            </w:tcBorders>
          </w:tcPr>
          <w:p w14:paraId="4D27CDF8" w14:textId="77777777" w:rsidR="00F91B1E" w:rsidRPr="00453F31" w:rsidRDefault="00F91B1E" w:rsidP="00A3243E">
            <w:pPr>
              <w:jc w:val="center"/>
              <w:rPr>
                <w:rFonts w:ascii="Arial Narrow" w:hAnsi="Arial Narrow" w:cs="Arial"/>
                <w:b/>
              </w:rPr>
            </w:pPr>
            <w:r w:rsidRPr="00453F31">
              <w:rPr>
                <w:rFonts w:ascii="Arial Narrow" w:hAnsi="Arial Narrow" w:cs="Arial"/>
                <w:b/>
                <w:bCs/>
              </w:rPr>
              <w:t>2A</w:t>
            </w:r>
            <w:r w:rsidRPr="00453F31">
              <w:rPr>
                <w:rFonts w:ascii="Arial Narrow" w:hAnsi="Arial Narrow" w:cs="Arial"/>
                <w:sz w:val="18"/>
                <w:szCs w:val="18"/>
              </w:rPr>
              <w:t xml:space="preserve"> (Premium)</w:t>
            </w:r>
          </w:p>
        </w:tc>
        <w:tc>
          <w:tcPr>
            <w:tcW w:w="1777" w:type="dxa"/>
            <w:gridSpan w:val="4"/>
            <w:tcBorders>
              <w:top w:val="single" w:sz="4" w:space="0" w:color="auto"/>
              <w:left w:val="single" w:sz="4" w:space="0" w:color="auto"/>
              <w:bottom w:val="single" w:sz="4" w:space="0" w:color="auto"/>
              <w:right w:val="single" w:sz="4" w:space="0" w:color="auto"/>
            </w:tcBorders>
          </w:tcPr>
          <w:p w14:paraId="0B157525" w14:textId="77777777" w:rsidR="00F91B1E" w:rsidRPr="00453F31" w:rsidRDefault="00F91B1E" w:rsidP="00A3243E">
            <w:pPr>
              <w:jc w:val="center"/>
              <w:rPr>
                <w:rFonts w:ascii="Arial Narrow" w:hAnsi="Arial Narrow" w:cs="Arial"/>
                <w:b/>
              </w:rPr>
            </w:pPr>
            <w:r w:rsidRPr="00453F31">
              <w:rPr>
                <w:rFonts w:ascii="Arial Narrow" w:hAnsi="Arial Narrow" w:cs="Arial"/>
                <w:b/>
                <w:bCs/>
              </w:rPr>
              <w:t>2A+1C</w:t>
            </w:r>
            <w:r w:rsidRPr="00453F31">
              <w:rPr>
                <w:rFonts w:ascii="Arial Narrow" w:hAnsi="Arial Narrow" w:cs="Arial"/>
                <w:sz w:val="18"/>
                <w:szCs w:val="18"/>
              </w:rPr>
              <w:t xml:space="preserve"> (Premium)</w:t>
            </w:r>
          </w:p>
        </w:tc>
        <w:tc>
          <w:tcPr>
            <w:tcW w:w="1777" w:type="dxa"/>
            <w:gridSpan w:val="3"/>
            <w:tcBorders>
              <w:top w:val="single" w:sz="4" w:space="0" w:color="auto"/>
              <w:left w:val="single" w:sz="4" w:space="0" w:color="auto"/>
              <w:bottom w:val="single" w:sz="4" w:space="0" w:color="auto"/>
              <w:right w:val="single" w:sz="4" w:space="0" w:color="auto"/>
            </w:tcBorders>
          </w:tcPr>
          <w:p w14:paraId="513BBBF2" w14:textId="77777777" w:rsidR="00F91B1E" w:rsidRPr="00453F31" w:rsidRDefault="00F91B1E" w:rsidP="00A3243E">
            <w:pPr>
              <w:jc w:val="center"/>
              <w:rPr>
                <w:rFonts w:ascii="Arial Narrow" w:hAnsi="Arial Narrow" w:cs="Arial"/>
                <w:b/>
              </w:rPr>
            </w:pPr>
            <w:r w:rsidRPr="00453F31">
              <w:rPr>
                <w:rFonts w:ascii="Arial Narrow" w:hAnsi="Arial Narrow" w:cs="Arial"/>
                <w:b/>
                <w:bCs/>
              </w:rPr>
              <w:t>2A+2C</w:t>
            </w:r>
            <w:r w:rsidRPr="00453F31">
              <w:rPr>
                <w:rFonts w:ascii="Arial Narrow" w:hAnsi="Arial Narrow" w:cs="Arial"/>
                <w:sz w:val="18"/>
                <w:szCs w:val="18"/>
              </w:rPr>
              <w:t xml:space="preserve"> (Premium)</w:t>
            </w:r>
          </w:p>
        </w:tc>
      </w:tr>
      <w:tr w:rsidR="00F91B1E" w:rsidRPr="00453F31" w14:paraId="11042BEF" w14:textId="77777777" w:rsidTr="00A3243E">
        <w:trPr>
          <w:trHeight w:val="29"/>
        </w:trPr>
        <w:tc>
          <w:tcPr>
            <w:tcW w:w="1776" w:type="dxa"/>
            <w:vMerge/>
            <w:tcBorders>
              <w:left w:val="single" w:sz="4" w:space="0" w:color="auto"/>
              <w:right w:val="single" w:sz="4" w:space="0" w:color="auto"/>
            </w:tcBorders>
          </w:tcPr>
          <w:p w14:paraId="2D2FCF2F" w14:textId="77777777" w:rsidR="00F91B1E" w:rsidRPr="00453F31" w:rsidRDefault="00F91B1E" w:rsidP="00A3243E">
            <w:pPr>
              <w:rPr>
                <w:rFonts w:ascii="Arial Narrow" w:hAnsi="Arial Narrow" w:cs="Arial"/>
                <w:b/>
              </w:rPr>
            </w:pPr>
          </w:p>
        </w:tc>
        <w:tc>
          <w:tcPr>
            <w:tcW w:w="1777" w:type="dxa"/>
            <w:gridSpan w:val="3"/>
            <w:tcBorders>
              <w:top w:val="single" w:sz="4" w:space="0" w:color="auto"/>
              <w:left w:val="single" w:sz="4" w:space="0" w:color="auto"/>
              <w:bottom w:val="single" w:sz="4" w:space="0" w:color="auto"/>
              <w:right w:val="single" w:sz="4" w:space="0" w:color="auto"/>
            </w:tcBorders>
          </w:tcPr>
          <w:p w14:paraId="1E2BF872" w14:textId="77777777" w:rsidR="00F91B1E" w:rsidRPr="00453F31" w:rsidRDefault="00F91B1E" w:rsidP="00A3243E">
            <w:pPr>
              <w:jc w:val="center"/>
              <w:rPr>
                <w:rFonts w:ascii="Arial Narrow" w:hAnsi="Arial Narrow" w:cs="Arial"/>
                <w:b/>
                <w:bCs/>
              </w:rPr>
            </w:pPr>
            <w:r w:rsidRPr="00453F31">
              <w:rPr>
                <w:rFonts w:ascii="Arial Narrow" w:hAnsi="Arial Narrow" w:cs="Arial"/>
              </w:rPr>
              <w:t>15 Lac/ 2 lac</w:t>
            </w:r>
          </w:p>
        </w:tc>
        <w:tc>
          <w:tcPr>
            <w:tcW w:w="1777" w:type="dxa"/>
            <w:gridSpan w:val="4"/>
            <w:tcBorders>
              <w:top w:val="single" w:sz="4" w:space="0" w:color="auto"/>
              <w:left w:val="single" w:sz="4" w:space="0" w:color="auto"/>
              <w:bottom w:val="single" w:sz="4" w:space="0" w:color="auto"/>
              <w:right w:val="single" w:sz="4" w:space="0" w:color="auto"/>
            </w:tcBorders>
          </w:tcPr>
          <w:p w14:paraId="17E6F400"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1,623</w:t>
            </w:r>
          </w:p>
        </w:tc>
        <w:tc>
          <w:tcPr>
            <w:tcW w:w="1776" w:type="dxa"/>
            <w:gridSpan w:val="3"/>
            <w:tcBorders>
              <w:top w:val="single" w:sz="4" w:space="0" w:color="auto"/>
              <w:left w:val="single" w:sz="4" w:space="0" w:color="auto"/>
              <w:bottom w:val="single" w:sz="4" w:space="0" w:color="auto"/>
              <w:right w:val="single" w:sz="4" w:space="0" w:color="auto"/>
            </w:tcBorders>
          </w:tcPr>
          <w:p w14:paraId="122B5B86"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1,763</w:t>
            </w:r>
          </w:p>
        </w:tc>
        <w:tc>
          <w:tcPr>
            <w:tcW w:w="1777" w:type="dxa"/>
            <w:gridSpan w:val="4"/>
            <w:tcBorders>
              <w:top w:val="single" w:sz="4" w:space="0" w:color="auto"/>
              <w:left w:val="single" w:sz="4" w:space="0" w:color="auto"/>
              <w:bottom w:val="single" w:sz="4" w:space="0" w:color="auto"/>
              <w:right w:val="single" w:sz="4" w:space="0" w:color="auto"/>
            </w:tcBorders>
          </w:tcPr>
          <w:p w14:paraId="2462EE03"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1,843</w:t>
            </w:r>
          </w:p>
        </w:tc>
        <w:tc>
          <w:tcPr>
            <w:tcW w:w="1777" w:type="dxa"/>
            <w:gridSpan w:val="3"/>
            <w:tcBorders>
              <w:top w:val="single" w:sz="4" w:space="0" w:color="auto"/>
              <w:left w:val="single" w:sz="4" w:space="0" w:color="auto"/>
              <w:bottom w:val="single" w:sz="4" w:space="0" w:color="auto"/>
              <w:right w:val="single" w:sz="4" w:space="0" w:color="auto"/>
            </w:tcBorders>
          </w:tcPr>
          <w:p w14:paraId="0251A3C3" w14:textId="77777777" w:rsidR="00F91B1E" w:rsidRPr="00453F31" w:rsidRDefault="00F91B1E" w:rsidP="00A3243E">
            <w:pPr>
              <w:jc w:val="center"/>
              <w:rPr>
                <w:rFonts w:ascii="Arial Narrow" w:hAnsi="Arial Narrow" w:cs="Arial"/>
                <w:b/>
                <w:bCs/>
              </w:rPr>
            </w:pPr>
            <w:r w:rsidRPr="00453F31">
              <w:rPr>
                <w:rFonts w:ascii="Arial" w:hAnsi="Arial" w:cs="Arial"/>
              </w:rPr>
              <w:t xml:space="preserve">₹ </w:t>
            </w:r>
            <w:r w:rsidRPr="00453F31">
              <w:rPr>
                <w:rFonts w:ascii="Arial Narrow" w:hAnsi="Arial Narrow" w:cs="Arial"/>
              </w:rPr>
              <w:t>1,995</w:t>
            </w:r>
          </w:p>
        </w:tc>
      </w:tr>
      <w:tr w:rsidR="00F91B1E" w:rsidRPr="00453F31" w14:paraId="3259FC7C" w14:textId="77777777" w:rsidTr="00A3243E">
        <w:trPr>
          <w:trHeight w:val="29"/>
        </w:trPr>
        <w:tc>
          <w:tcPr>
            <w:tcW w:w="1776" w:type="dxa"/>
            <w:vMerge/>
            <w:tcBorders>
              <w:left w:val="single" w:sz="4" w:space="0" w:color="auto"/>
              <w:right w:val="single" w:sz="4" w:space="0" w:color="auto"/>
            </w:tcBorders>
          </w:tcPr>
          <w:p w14:paraId="68163D3A" w14:textId="77777777" w:rsidR="00F91B1E" w:rsidRPr="00453F31" w:rsidRDefault="00F91B1E" w:rsidP="00A3243E">
            <w:pPr>
              <w:rPr>
                <w:rFonts w:ascii="Arial Narrow" w:hAnsi="Arial Narrow" w:cs="Arial"/>
                <w:b/>
              </w:rPr>
            </w:pPr>
          </w:p>
        </w:tc>
        <w:tc>
          <w:tcPr>
            <w:tcW w:w="1777" w:type="dxa"/>
            <w:gridSpan w:val="3"/>
            <w:tcBorders>
              <w:top w:val="single" w:sz="4" w:space="0" w:color="auto"/>
              <w:left w:val="single" w:sz="4" w:space="0" w:color="auto"/>
              <w:bottom w:val="single" w:sz="4" w:space="0" w:color="auto"/>
              <w:right w:val="single" w:sz="4" w:space="0" w:color="auto"/>
            </w:tcBorders>
          </w:tcPr>
          <w:p w14:paraId="3837BCE7" w14:textId="77777777" w:rsidR="00F91B1E" w:rsidRPr="00453F31" w:rsidRDefault="00F91B1E" w:rsidP="00A3243E">
            <w:pPr>
              <w:jc w:val="center"/>
              <w:rPr>
                <w:rFonts w:ascii="Arial Narrow" w:hAnsi="Arial Narrow" w:cs="Arial"/>
              </w:rPr>
            </w:pPr>
            <w:r w:rsidRPr="00453F31">
              <w:rPr>
                <w:rFonts w:ascii="Arial Narrow" w:hAnsi="Arial Narrow" w:cs="Arial"/>
              </w:rPr>
              <w:t>30 Lac/ 3 Lac</w:t>
            </w:r>
          </w:p>
        </w:tc>
        <w:tc>
          <w:tcPr>
            <w:tcW w:w="1777" w:type="dxa"/>
            <w:gridSpan w:val="4"/>
            <w:tcBorders>
              <w:top w:val="single" w:sz="4" w:space="0" w:color="auto"/>
              <w:left w:val="single" w:sz="4" w:space="0" w:color="auto"/>
              <w:bottom w:val="single" w:sz="4" w:space="0" w:color="auto"/>
              <w:right w:val="single" w:sz="4" w:space="0" w:color="auto"/>
            </w:tcBorders>
          </w:tcPr>
          <w:p w14:paraId="4D56B3CC"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2,056</w:t>
            </w:r>
          </w:p>
        </w:tc>
        <w:tc>
          <w:tcPr>
            <w:tcW w:w="1776" w:type="dxa"/>
            <w:gridSpan w:val="3"/>
            <w:tcBorders>
              <w:top w:val="single" w:sz="4" w:space="0" w:color="auto"/>
              <w:left w:val="single" w:sz="4" w:space="0" w:color="auto"/>
              <w:bottom w:val="single" w:sz="4" w:space="0" w:color="auto"/>
              <w:right w:val="single" w:sz="4" w:space="0" w:color="auto"/>
            </w:tcBorders>
          </w:tcPr>
          <w:p w14:paraId="123C76B3"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2,229</w:t>
            </w:r>
          </w:p>
        </w:tc>
        <w:tc>
          <w:tcPr>
            <w:tcW w:w="1777" w:type="dxa"/>
            <w:gridSpan w:val="4"/>
            <w:tcBorders>
              <w:top w:val="single" w:sz="4" w:space="0" w:color="auto"/>
              <w:left w:val="single" w:sz="4" w:space="0" w:color="auto"/>
              <w:bottom w:val="single" w:sz="4" w:space="0" w:color="auto"/>
              <w:right w:val="single" w:sz="4" w:space="0" w:color="auto"/>
            </w:tcBorders>
          </w:tcPr>
          <w:p w14:paraId="34A25F7C"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2,332</w:t>
            </w:r>
          </w:p>
        </w:tc>
        <w:tc>
          <w:tcPr>
            <w:tcW w:w="1777" w:type="dxa"/>
            <w:gridSpan w:val="3"/>
            <w:tcBorders>
              <w:top w:val="single" w:sz="4" w:space="0" w:color="auto"/>
              <w:left w:val="single" w:sz="4" w:space="0" w:color="auto"/>
              <w:bottom w:val="single" w:sz="4" w:space="0" w:color="auto"/>
              <w:right w:val="single" w:sz="4" w:space="0" w:color="auto"/>
            </w:tcBorders>
          </w:tcPr>
          <w:p w14:paraId="5435E333" w14:textId="77777777" w:rsidR="00F91B1E" w:rsidRPr="00453F31" w:rsidRDefault="00F91B1E" w:rsidP="00A3243E">
            <w:pPr>
              <w:jc w:val="center"/>
              <w:rPr>
                <w:rFonts w:ascii="Arial" w:hAnsi="Arial" w:cs="Arial"/>
              </w:rPr>
            </w:pPr>
            <w:r w:rsidRPr="00453F31">
              <w:rPr>
                <w:rFonts w:ascii="Arial" w:hAnsi="Arial" w:cs="Arial"/>
              </w:rPr>
              <w:t xml:space="preserve">₹ </w:t>
            </w:r>
            <w:r w:rsidRPr="00453F31">
              <w:rPr>
                <w:rFonts w:ascii="Arial Narrow" w:hAnsi="Arial Narrow" w:cs="Arial"/>
              </w:rPr>
              <w:t>2,495</w:t>
            </w:r>
          </w:p>
        </w:tc>
      </w:tr>
    </w:tbl>
    <w:p w14:paraId="4137FC89" w14:textId="77777777" w:rsidR="00F91B1E" w:rsidRPr="00453F31" w:rsidRDefault="00F91B1E" w:rsidP="00F91B1E">
      <w:pPr>
        <w:rPr>
          <w:rFonts w:ascii="Arial" w:hAnsi="Arial" w:cs="Arial"/>
          <w:b/>
        </w:rPr>
      </w:pPr>
    </w:p>
    <w:p w14:paraId="1BDFE54B" w14:textId="77777777" w:rsidR="00F91B1E" w:rsidRPr="00453F31" w:rsidRDefault="00F91B1E" w:rsidP="00F91B1E">
      <w:pPr>
        <w:ind w:left="5760" w:firstLine="720"/>
        <w:jc w:val="right"/>
        <w:rPr>
          <w:rFonts w:ascii="Arial" w:hAnsi="Arial" w:cs="Arial"/>
          <w:b/>
        </w:rPr>
      </w:pPr>
      <w:r w:rsidRPr="00453F31">
        <w:rPr>
          <w:rFonts w:ascii="Arial" w:hAnsi="Arial" w:cs="Arial"/>
          <w:b/>
        </w:rPr>
        <w:t xml:space="preserve"> </w:t>
      </w:r>
    </w:p>
    <w:p w14:paraId="776C39B2" w14:textId="77777777" w:rsidR="00F91B1E" w:rsidRPr="00453F31" w:rsidRDefault="00F91B1E" w:rsidP="00F91B1E"/>
    <w:p w14:paraId="0DEE5E7F" w14:textId="77777777" w:rsidR="00F91B1E" w:rsidRPr="00453F31" w:rsidRDefault="00F91B1E" w:rsidP="00F91B1E">
      <w:pPr>
        <w:jc w:val="both"/>
        <w:rPr>
          <w:rFonts w:ascii="Arial" w:hAnsi="Arial" w:cs="Arial"/>
          <w:b/>
          <w:u w:val="single"/>
        </w:rPr>
      </w:pPr>
      <w:r w:rsidRPr="00453F31">
        <w:rPr>
          <w:rFonts w:ascii="Arial" w:hAnsi="Arial" w:cs="Arial"/>
          <w:b/>
          <w:u w:val="single"/>
        </w:rPr>
        <w:t>3.GENERAL TERMS AND CONDITIONS OF SUPER TOP-UP HEA</w:t>
      </w:r>
      <w:r>
        <w:rPr>
          <w:rFonts w:ascii="Arial" w:hAnsi="Arial" w:cs="Arial"/>
          <w:b/>
          <w:u w:val="single"/>
        </w:rPr>
        <w:t>L</w:t>
      </w:r>
      <w:r w:rsidRPr="00453F31">
        <w:rPr>
          <w:rFonts w:ascii="Arial" w:hAnsi="Arial" w:cs="Arial"/>
          <w:b/>
          <w:u w:val="single"/>
        </w:rPr>
        <w:t xml:space="preserve">TH INSURANCE </w:t>
      </w:r>
    </w:p>
    <w:tbl>
      <w:tblPr>
        <w:tblStyle w:val="TableGrid"/>
        <w:tblW w:w="10956" w:type="dxa"/>
        <w:tblInd w:w="-635" w:type="dxa"/>
        <w:tblLook w:val="04A0" w:firstRow="1" w:lastRow="0" w:firstColumn="1" w:lastColumn="0" w:noHBand="0" w:noVBand="1"/>
      </w:tblPr>
      <w:tblGrid>
        <w:gridCol w:w="2359"/>
        <w:gridCol w:w="1451"/>
        <w:gridCol w:w="330"/>
        <w:gridCol w:w="1864"/>
        <w:gridCol w:w="795"/>
        <w:gridCol w:w="1481"/>
        <w:gridCol w:w="2676"/>
      </w:tblGrid>
      <w:tr w:rsidR="00F91B1E" w:rsidRPr="00453F31" w14:paraId="3C876CD7" w14:textId="77777777" w:rsidTr="00A3243E">
        <w:trPr>
          <w:trHeight w:val="249"/>
        </w:trPr>
        <w:tc>
          <w:tcPr>
            <w:tcW w:w="10956" w:type="dxa"/>
            <w:gridSpan w:val="7"/>
          </w:tcPr>
          <w:p w14:paraId="0CABF94B" w14:textId="77777777" w:rsidR="00F91B1E" w:rsidRPr="00453F31" w:rsidRDefault="00F91B1E" w:rsidP="00A3243E">
            <w:pPr>
              <w:jc w:val="center"/>
              <w:rPr>
                <w:rFonts w:ascii="Arial" w:hAnsi="Arial" w:cs="Arial"/>
                <w:b/>
                <w:bCs/>
              </w:rPr>
            </w:pPr>
            <w:r w:rsidRPr="00453F31">
              <w:rPr>
                <w:rFonts w:ascii="Arial" w:hAnsi="Arial" w:cs="Arial"/>
                <w:b/>
                <w:bCs/>
              </w:rPr>
              <w:t>Details of Super Top-Up health Insurance Policy for SGSP and PSP</w:t>
            </w:r>
          </w:p>
        </w:tc>
      </w:tr>
      <w:tr w:rsidR="00F91B1E" w:rsidRPr="00453F31" w14:paraId="40654BBE" w14:textId="77777777" w:rsidTr="00A3243E">
        <w:trPr>
          <w:trHeight w:val="18"/>
        </w:trPr>
        <w:tc>
          <w:tcPr>
            <w:tcW w:w="10956" w:type="dxa"/>
            <w:gridSpan w:val="7"/>
          </w:tcPr>
          <w:p w14:paraId="32674F98" w14:textId="77777777" w:rsidR="00F91B1E" w:rsidRPr="00453F31" w:rsidRDefault="00F91B1E" w:rsidP="00A3243E">
            <w:pPr>
              <w:rPr>
                <w:b/>
                <w:bCs/>
                <w:sz w:val="20"/>
                <w:szCs w:val="20"/>
                <w:lang w:eastAsia="en-IN"/>
              </w:rPr>
            </w:pPr>
            <w:r w:rsidRPr="00453F31">
              <w:rPr>
                <w:b/>
                <w:bCs/>
                <w:sz w:val="20"/>
                <w:szCs w:val="20"/>
                <w:lang w:eastAsia="en-IN"/>
              </w:rPr>
              <w:t>Claim Support Matrix:</w:t>
            </w:r>
          </w:p>
        </w:tc>
      </w:tr>
      <w:tr w:rsidR="00F91B1E" w:rsidRPr="00453F31" w14:paraId="661BB5C9" w14:textId="77777777" w:rsidTr="00A3243E">
        <w:trPr>
          <w:trHeight w:val="18"/>
        </w:trPr>
        <w:tc>
          <w:tcPr>
            <w:tcW w:w="10956" w:type="dxa"/>
            <w:gridSpan w:val="7"/>
          </w:tcPr>
          <w:p w14:paraId="0917837B" w14:textId="77777777" w:rsidR="00F91B1E" w:rsidRPr="00453F31" w:rsidRDefault="00F91B1E" w:rsidP="00A3243E">
            <w:pPr>
              <w:rPr>
                <w:rFonts w:ascii="Calibri Light" w:hAnsi="Calibri Light" w:cs="Calibri Light"/>
                <w:b/>
                <w:bCs/>
                <w:sz w:val="20"/>
                <w:szCs w:val="20"/>
                <w:lang w:eastAsia="en-IN"/>
              </w:rPr>
            </w:pPr>
            <w:r w:rsidRPr="00453F31">
              <w:rPr>
                <w:b/>
                <w:bCs/>
                <w:sz w:val="20"/>
                <w:szCs w:val="20"/>
                <w:lang w:eastAsia="en-IN"/>
              </w:rPr>
              <w:t>Product brief</w:t>
            </w:r>
          </w:p>
        </w:tc>
      </w:tr>
      <w:tr w:rsidR="00F91B1E" w:rsidRPr="00453F31" w14:paraId="098295FD" w14:textId="77777777" w:rsidTr="00A3243E">
        <w:trPr>
          <w:trHeight w:val="18"/>
        </w:trPr>
        <w:tc>
          <w:tcPr>
            <w:tcW w:w="10956" w:type="dxa"/>
            <w:gridSpan w:val="7"/>
          </w:tcPr>
          <w:p w14:paraId="5019D163"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Super Top up Health insurance Plan for (1 Adult, 2 Adult , 2 Adult + 2 Child)  plan with Sum Insured option 15 lakh with 2 lakh deductible and 30 Lakh with 3 lakh aggregate deductible by Bajaj Allianz General Insurance Co ltd. on individual payment basis Premium table </w:t>
            </w:r>
            <w:r w:rsidRPr="00453F31">
              <w:rPr>
                <w:rFonts w:ascii="Calibri Light" w:hAnsi="Calibri Light" w:cs="Calibri Light"/>
                <w:b/>
                <w:bCs/>
                <w:sz w:val="20"/>
                <w:szCs w:val="20"/>
                <w:lang w:eastAsia="en-IN"/>
              </w:rPr>
              <w:t>(including Tax</w:t>
            </w:r>
            <w:r w:rsidRPr="00453F31">
              <w:rPr>
                <w:rFonts w:ascii="Calibri Light" w:hAnsi="Calibri Light" w:cs="Calibri Light"/>
                <w:sz w:val="20"/>
                <w:szCs w:val="20"/>
                <w:lang w:eastAsia="en-IN"/>
              </w:rPr>
              <w:t>) with Sum Insured and deductibles is as below.</w:t>
            </w:r>
            <w:r w:rsidRPr="00453F31">
              <w:rPr>
                <w:rFonts w:ascii="Arial" w:hAnsi="Arial" w:cs="Arial"/>
                <w:sz w:val="20"/>
              </w:rPr>
              <w:t xml:space="preserve"> (To be borne by customer)</w:t>
            </w:r>
          </w:p>
        </w:tc>
      </w:tr>
      <w:tr w:rsidR="00F91B1E" w:rsidRPr="00453F31" w14:paraId="1E3A0AB7" w14:textId="77777777" w:rsidTr="00A3243E">
        <w:trPr>
          <w:trHeight w:val="18"/>
        </w:trPr>
        <w:tc>
          <w:tcPr>
            <w:tcW w:w="2359" w:type="dxa"/>
          </w:tcPr>
          <w:p w14:paraId="71C0C846" w14:textId="77777777" w:rsidR="00F91B1E" w:rsidRPr="00453F31" w:rsidRDefault="00F91B1E" w:rsidP="00A3243E">
            <w:pPr>
              <w:rPr>
                <w:b/>
                <w:bCs/>
                <w:sz w:val="20"/>
                <w:szCs w:val="20"/>
                <w:lang w:eastAsia="en-IN"/>
              </w:rPr>
            </w:pPr>
            <w:r w:rsidRPr="00453F31">
              <w:rPr>
                <w:b/>
                <w:bCs/>
                <w:sz w:val="20"/>
                <w:szCs w:val="20"/>
              </w:rPr>
              <w:t>Sum Insured/ Deductible</w:t>
            </w:r>
          </w:p>
        </w:tc>
        <w:tc>
          <w:tcPr>
            <w:tcW w:w="1781" w:type="dxa"/>
            <w:gridSpan w:val="2"/>
            <w:vAlign w:val="center"/>
          </w:tcPr>
          <w:p w14:paraId="0BD01C92" w14:textId="77777777" w:rsidR="00F91B1E" w:rsidRPr="00453F31" w:rsidRDefault="00F91B1E" w:rsidP="00A3243E">
            <w:pPr>
              <w:jc w:val="center"/>
              <w:rPr>
                <w:b/>
                <w:bCs/>
                <w:lang w:eastAsia="en-IN"/>
              </w:rPr>
            </w:pPr>
            <w:r w:rsidRPr="00453F31">
              <w:rPr>
                <w:b/>
                <w:bCs/>
              </w:rPr>
              <w:t>1A (Premium ₹)</w:t>
            </w:r>
          </w:p>
        </w:tc>
        <w:tc>
          <w:tcPr>
            <w:tcW w:w="1864" w:type="dxa"/>
            <w:vAlign w:val="center"/>
          </w:tcPr>
          <w:p w14:paraId="49E4B952" w14:textId="77777777" w:rsidR="00F91B1E" w:rsidRPr="00453F31" w:rsidRDefault="00F91B1E" w:rsidP="00A3243E">
            <w:pPr>
              <w:jc w:val="center"/>
              <w:rPr>
                <w:b/>
                <w:bCs/>
                <w:lang w:eastAsia="en-IN"/>
              </w:rPr>
            </w:pPr>
            <w:r w:rsidRPr="00453F31">
              <w:rPr>
                <w:b/>
                <w:bCs/>
              </w:rPr>
              <w:t>2A (Premium ₹)</w:t>
            </w:r>
          </w:p>
        </w:tc>
        <w:tc>
          <w:tcPr>
            <w:tcW w:w="2276" w:type="dxa"/>
            <w:gridSpan w:val="2"/>
            <w:vAlign w:val="center"/>
          </w:tcPr>
          <w:p w14:paraId="66A6660A" w14:textId="77777777" w:rsidR="00F91B1E" w:rsidRPr="00453F31" w:rsidRDefault="00F91B1E" w:rsidP="00A3243E">
            <w:pPr>
              <w:jc w:val="center"/>
              <w:rPr>
                <w:b/>
                <w:bCs/>
                <w:lang w:eastAsia="en-IN"/>
              </w:rPr>
            </w:pPr>
            <w:r w:rsidRPr="00453F31">
              <w:rPr>
                <w:b/>
                <w:bCs/>
              </w:rPr>
              <w:t>2A+1C (Premium ₹)</w:t>
            </w:r>
          </w:p>
        </w:tc>
        <w:tc>
          <w:tcPr>
            <w:tcW w:w="2676" w:type="dxa"/>
            <w:vAlign w:val="center"/>
          </w:tcPr>
          <w:p w14:paraId="18A57303" w14:textId="77777777" w:rsidR="00F91B1E" w:rsidRPr="00453F31" w:rsidRDefault="00F91B1E" w:rsidP="00A3243E">
            <w:pPr>
              <w:jc w:val="center"/>
              <w:rPr>
                <w:rFonts w:ascii="Calibri Light" w:hAnsi="Calibri Light" w:cs="Calibri Light"/>
                <w:b/>
                <w:bCs/>
                <w:lang w:eastAsia="en-IN"/>
              </w:rPr>
            </w:pPr>
            <w:r w:rsidRPr="00453F31">
              <w:rPr>
                <w:b/>
                <w:bCs/>
              </w:rPr>
              <w:t>2A+2C (Premium ₹)</w:t>
            </w:r>
          </w:p>
        </w:tc>
      </w:tr>
      <w:tr w:rsidR="00F91B1E" w:rsidRPr="00453F31" w14:paraId="1DA47162" w14:textId="77777777" w:rsidTr="00A3243E">
        <w:trPr>
          <w:trHeight w:val="18"/>
        </w:trPr>
        <w:tc>
          <w:tcPr>
            <w:tcW w:w="2359" w:type="dxa"/>
          </w:tcPr>
          <w:p w14:paraId="33B9D30A" w14:textId="77777777" w:rsidR="00F91B1E" w:rsidRPr="00453F31" w:rsidRDefault="00F91B1E" w:rsidP="00A3243E">
            <w:pPr>
              <w:rPr>
                <w:sz w:val="20"/>
                <w:szCs w:val="20"/>
                <w:lang w:eastAsia="en-IN"/>
              </w:rPr>
            </w:pPr>
            <w:r w:rsidRPr="00453F31">
              <w:t>15 Lac/ 2 lac</w:t>
            </w:r>
          </w:p>
        </w:tc>
        <w:tc>
          <w:tcPr>
            <w:tcW w:w="1781" w:type="dxa"/>
            <w:gridSpan w:val="2"/>
          </w:tcPr>
          <w:p w14:paraId="7AE20830" w14:textId="77777777" w:rsidR="00F91B1E" w:rsidRPr="00453F31" w:rsidRDefault="00F91B1E" w:rsidP="00A3243E">
            <w:pPr>
              <w:jc w:val="center"/>
              <w:rPr>
                <w:sz w:val="20"/>
                <w:szCs w:val="20"/>
                <w:lang w:eastAsia="en-IN"/>
              </w:rPr>
            </w:pPr>
            <w:r w:rsidRPr="00453F31">
              <w:t xml:space="preserve"> 1,623/-</w:t>
            </w:r>
          </w:p>
        </w:tc>
        <w:tc>
          <w:tcPr>
            <w:tcW w:w="1864" w:type="dxa"/>
          </w:tcPr>
          <w:p w14:paraId="4C61064F" w14:textId="77777777" w:rsidR="00F91B1E" w:rsidRPr="00453F31" w:rsidRDefault="00F91B1E" w:rsidP="00A3243E">
            <w:pPr>
              <w:jc w:val="center"/>
              <w:rPr>
                <w:sz w:val="20"/>
                <w:szCs w:val="20"/>
                <w:lang w:eastAsia="en-IN"/>
              </w:rPr>
            </w:pPr>
            <w:r w:rsidRPr="00453F31">
              <w:t>1,763/-</w:t>
            </w:r>
          </w:p>
        </w:tc>
        <w:tc>
          <w:tcPr>
            <w:tcW w:w="2276" w:type="dxa"/>
            <w:gridSpan w:val="2"/>
          </w:tcPr>
          <w:p w14:paraId="413BDBB1" w14:textId="77777777" w:rsidR="00F91B1E" w:rsidRPr="00453F31" w:rsidRDefault="00F91B1E" w:rsidP="00A3243E">
            <w:pPr>
              <w:jc w:val="center"/>
              <w:rPr>
                <w:sz w:val="20"/>
                <w:szCs w:val="20"/>
                <w:lang w:eastAsia="en-IN"/>
              </w:rPr>
            </w:pPr>
            <w:r w:rsidRPr="00453F31">
              <w:t>1,843/-</w:t>
            </w:r>
          </w:p>
        </w:tc>
        <w:tc>
          <w:tcPr>
            <w:tcW w:w="2676" w:type="dxa"/>
          </w:tcPr>
          <w:p w14:paraId="3067EAB8" w14:textId="77777777" w:rsidR="00F91B1E" w:rsidRPr="00453F31" w:rsidRDefault="00F91B1E" w:rsidP="00A3243E">
            <w:pPr>
              <w:jc w:val="center"/>
              <w:rPr>
                <w:rFonts w:ascii="Calibri Light" w:hAnsi="Calibri Light" w:cs="Calibri Light"/>
                <w:sz w:val="20"/>
                <w:szCs w:val="20"/>
                <w:lang w:eastAsia="en-IN"/>
              </w:rPr>
            </w:pPr>
            <w:r w:rsidRPr="00453F31">
              <w:t>1,995/-</w:t>
            </w:r>
          </w:p>
        </w:tc>
      </w:tr>
      <w:tr w:rsidR="00F91B1E" w:rsidRPr="00453F31" w14:paraId="72188531" w14:textId="77777777" w:rsidTr="00A3243E">
        <w:trPr>
          <w:trHeight w:val="18"/>
        </w:trPr>
        <w:tc>
          <w:tcPr>
            <w:tcW w:w="2359" w:type="dxa"/>
          </w:tcPr>
          <w:p w14:paraId="489E7C97" w14:textId="77777777" w:rsidR="00F91B1E" w:rsidRPr="00453F31" w:rsidRDefault="00F91B1E" w:rsidP="00A3243E">
            <w:pPr>
              <w:rPr>
                <w:sz w:val="20"/>
                <w:szCs w:val="20"/>
                <w:lang w:eastAsia="en-IN"/>
              </w:rPr>
            </w:pPr>
            <w:r w:rsidRPr="00453F31">
              <w:t>30 Lac/ 3 Lac</w:t>
            </w:r>
          </w:p>
        </w:tc>
        <w:tc>
          <w:tcPr>
            <w:tcW w:w="1781" w:type="dxa"/>
            <w:gridSpan w:val="2"/>
          </w:tcPr>
          <w:p w14:paraId="031E8B58" w14:textId="77777777" w:rsidR="00F91B1E" w:rsidRPr="00453F31" w:rsidRDefault="00F91B1E" w:rsidP="00A3243E">
            <w:pPr>
              <w:jc w:val="center"/>
              <w:rPr>
                <w:sz w:val="20"/>
                <w:szCs w:val="20"/>
                <w:lang w:eastAsia="en-IN"/>
              </w:rPr>
            </w:pPr>
            <w:r w:rsidRPr="00453F31">
              <w:t>2,056/-</w:t>
            </w:r>
          </w:p>
        </w:tc>
        <w:tc>
          <w:tcPr>
            <w:tcW w:w="1864" w:type="dxa"/>
          </w:tcPr>
          <w:p w14:paraId="45D46451" w14:textId="77777777" w:rsidR="00F91B1E" w:rsidRPr="00453F31" w:rsidRDefault="00F91B1E" w:rsidP="00A3243E">
            <w:pPr>
              <w:jc w:val="center"/>
              <w:rPr>
                <w:sz w:val="20"/>
                <w:szCs w:val="20"/>
                <w:lang w:eastAsia="en-IN"/>
              </w:rPr>
            </w:pPr>
            <w:r w:rsidRPr="00453F31">
              <w:t>2,229/-</w:t>
            </w:r>
          </w:p>
        </w:tc>
        <w:tc>
          <w:tcPr>
            <w:tcW w:w="2276" w:type="dxa"/>
            <w:gridSpan w:val="2"/>
          </w:tcPr>
          <w:p w14:paraId="00195DDC" w14:textId="77777777" w:rsidR="00F91B1E" w:rsidRPr="00453F31" w:rsidRDefault="00F91B1E" w:rsidP="00A3243E">
            <w:pPr>
              <w:jc w:val="center"/>
              <w:rPr>
                <w:sz w:val="20"/>
                <w:szCs w:val="20"/>
                <w:lang w:eastAsia="en-IN"/>
              </w:rPr>
            </w:pPr>
            <w:r w:rsidRPr="00453F31">
              <w:t>2,332/-</w:t>
            </w:r>
          </w:p>
        </w:tc>
        <w:tc>
          <w:tcPr>
            <w:tcW w:w="2676" w:type="dxa"/>
          </w:tcPr>
          <w:p w14:paraId="683270A6" w14:textId="77777777" w:rsidR="00F91B1E" w:rsidRPr="00453F31" w:rsidRDefault="00F91B1E" w:rsidP="00A3243E">
            <w:pPr>
              <w:jc w:val="center"/>
              <w:rPr>
                <w:rFonts w:ascii="Calibri Light" w:hAnsi="Calibri Light" w:cs="Calibri Light"/>
                <w:sz w:val="20"/>
                <w:szCs w:val="20"/>
                <w:lang w:eastAsia="en-IN"/>
              </w:rPr>
            </w:pPr>
            <w:r w:rsidRPr="00453F31">
              <w:t>2,495/-</w:t>
            </w:r>
          </w:p>
        </w:tc>
      </w:tr>
      <w:tr w:rsidR="00F91B1E" w:rsidRPr="00453F31" w14:paraId="5F4EAFFD" w14:textId="77777777" w:rsidTr="00A3243E">
        <w:trPr>
          <w:trHeight w:val="18"/>
        </w:trPr>
        <w:tc>
          <w:tcPr>
            <w:tcW w:w="10956" w:type="dxa"/>
            <w:gridSpan w:val="7"/>
          </w:tcPr>
          <w:p w14:paraId="31BA9E11" w14:textId="77777777" w:rsidR="00F91B1E" w:rsidRPr="00453F31" w:rsidRDefault="00F91B1E" w:rsidP="00A3243E">
            <w:pPr>
              <w:rPr>
                <w:rFonts w:ascii="Calibri Light" w:hAnsi="Calibri Light" w:cs="Calibri Light"/>
                <w:b/>
                <w:bCs/>
                <w:sz w:val="20"/>
                <w:szCs w:val="20"/>
                <w:lang w:eastAsia="en-IN"/>
              </w:rPr>
            </w:pPr>
            <w:r w:rsidRPr="00453F31">
              <w:rPr>
                <w:b/>
                <w:bCs/>
                <w:sz w:val="20"/>
                <w:szCs w:val="20"/>
                <w:lang w:eastAsia="en-IN"/>
              </w:rPr>
              <w:t>Key Features</w:t>
            </w:r>
          </w:p>
        </w:tc>
      </w:tr>
      <w:tr w:rsidR="00F91B1E" w:rsidRPr="00453F31" w14:paraId="459AFD06" w14:textId="77777777" w:rsidTr="00A3243E">
        <w:trPr>
          <w:trHeight w:val="18"/>
        </w:trPr>
        <w:tc>
          <w:tcPr>
            <w:tcW w:w="10956" w:type="dxa"/>
            <w:gridSpan w:val="7"/>
          </w:tcPr>
          <w:p w14:paraId="68C2777E" w14:textId="77777777" w:rsidR="00F91B1E" w:rsidRPr="00453F31" w:rsidRDefault="00F91B1E" w:rsidP="00A3243E">
            <w:pPr>
              <w:rPr>
                <w:sz w:val="20"/>
                <w:szCs w:val="20"/>
                <w:lang w:eastAsia="en-IN"/>
              </w:rPr>
            </w:pPr>
            <w:r w:rsidRPr="00453F31">
              <w:rPr>
                <w:rFonts w:ascii="Calibri Light" w:hAnsi="Calibri Light" w:cs="Calibri Light"/>
                <w:sz w:val="20"/>
                <w:szCs w:val="20"/>
                <w:lang w:eastAsia="en-IN"/>
              </w:rPr>
              <w:t>•</w:t>
            </w:r>
            <w:r w:rsidRPr="00453F31">
              <w:tab/>
            </w:r>
            <w:r w:rsidRPr="00453F31">
              <w:rPr>
                <w:sz w:val="20"/>
                <w:szCs w:val="20"/>
                <w:lang w:eastAsia="en-IN"/>
              </w:rPr>
              <w:t>A Super Top up health Indemnity insurance Plan that helps Individual and his/her family stay adequately insured at the time of Hospitalization event.</w:t>
            </w:r>
          </w:p>
          <w:p w14:paraId="076EFCE9"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 xml:space="preserve">Coverage available for 1Adult, 2 Adult, 2 Adult+ 1 Child and 2 adult + 2 Child. </w:t>
            </w:r>
          </w:p>
          <w:p w14:paraId="47E92BD8"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In- Patient Hospitalization is considered as treatment.</w:t>
            </w:r>
          </w:p>
          <w:p w14:paraId="5743D5F5"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Day care procedure is covered.</w:t>
            </w:r>
          </w:p>
          <w:p w14:paraId="607405B3"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Entry age 18 Years to 65 Years (Child age 3 month to 25 Years)</w:t>
            </w:r>
          </w:p>
          <w:p w14:paraId="5E0B7ADE"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60 days Pre and 90 days Post Hospitalization also Covered.</w:t>
            </w:r>
          </w:p>
          <w:p w14:paraId="7975847D"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Medical Advancement Surgery Covered</w:t>
            </w:r>
          </w:p>
          <w:p w14:paraId="2C68BA8E"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 xml:space="preserve">Road Ambulance </w:t>
            </w:r>
            <w:proofErr w:type="spellStart"/>
            <w:r w:rsidRPr="00453F31">
              <w:rPr>
                <w:sz w:val="20"/>
                <w:szCs w:val="20"/>
                <w:lang w:eastAsia="en-IN"/>
              </w:rPr>
              <w:t>upto</w:t>
            </w:r>
            <w:proofErr w:type="spellEnd"/>
            <w:r w:rsidRPr="00453F31">
              <w:rPr>
                <w:sz w:val="20"/>
                <w:szCs w:val="20"/>
                <w:lang w:eastAsia="en-IN"/>
              </w:rPr>
              <w:t xml:space="preserve"> Rs 2000/-</w:t>
            </w:r>
          </w:p>
          <w:p w14:paraId="48C998E6"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Ayush Treatment also covered</w:t>
            </w:r>
          </w:p>
          <w:p w14:paraId="78FB9C0C" w14:textId="77777777" w:rsidR="00F91B1E" w:rsidRPr="00453F31" w:rsidRDefault="00F91B1E" w:rsidP="00A3243E">
            <w:pPr>
              <w:rPr>
                <w:sz w:val="20"/>
                <w:szCs w:val="20"/>
                <w:lang w:eastAsia="en-IN"/>
              </w:rPr>
            </w:pPr>
            <w:r w:rsidRPr="00453F31">
              <w:rPr>
                <w:sz w:val="20"/>
                <w:szCs w:val="20"/>
                <w:lang w:eastAsia="en-IN"/>
              </w:rPr>
              <w:t>•</w:t>
            </w:r>
            <w:r w:rsidRPr="00453F31">
              <w:rPr>
                <w:sz w:val="20"/>
                <w:szCs w:val="20"/>
                <w:lang w:eastAsia="en-IN"/>
              </w:rPr>
              <w:tab/>
              <w:t xml:space="preserve">Renewal </w:t>
            </w:r>
            <w:proofErr w:type="spellStart"/>
            <w:r w:rsidRPr="00453F31">
              <w:rPr>
                <w:sz w:val="20"/>
                <w:szCs w:val="20"/>
                <w:lang w:eastAsia="en-IN"/>
              </w:rPr>
              <w:t>upto</w:t>
            </w:r>
            <w:proofErr w:type="spellEnd"/>
            <w:r w:rsidRPr="00453F31">
              <w:rPr>
                <w:sz w:val="20"/>
                <w:szCs w:val="20"/>
                <w:lang w:eastAsia="en-IN"/>
              </w:rPr>
              <w:t xml:space="preserve"> 75 yea</w:t>
            </w:r>
            <w:r>
              <w:rPr>
                <w:sz w:val="20"/>
                <w:szCs w:val="20"/>
                <w:lang w:eastAsia="en-IN"/>
              </w:rPr>
              <w:t>rs</w:t>
            </w:r>
          </w:p>
          <w:p w14:paraId="679E7929" w14:textId="77777777" w:rsidR="00F91B1E" w:rsidRPr="00453F31" w:rsidRDefault="00F91B1E" w:rsidP="00A3243E">
            <w:pPr>
              <w:rPr>
                <w:rFonts w:ascii="Calibri Light" w:hAnsi="Calibri Light" w:cs="Calibri Light"/>
                <w:sz w:val="20"/>
                <w:szCs w:val="20"/>
                <w:lang w:eastAsia="en-IN"/>
              </w:rPr>
            </w:pPr>
            <w:r w:rsidRPr="00453F31">
              <w:rPr>
                <w:sz w:val="20"/>
                <w:szCs w:val="20"/>
                <w:lang w:eastAsia="en-IN"/>
              </w:rPr>
              <w:t>•</w:t>
            </w:r>
            <w:r w:rsidRPr="00453F31">
              <w:rPr>
                <w:sz w:val="20"/>
                <w:szCs w:val="20"/>
                <w:lang w:eastAsia="en-IN"/>
              </w:rPr>
              <w:tab/>
              <w:t>Auto Renewal option is available</w:t>
            </w:r>
          </w:p>
        </w:tc>
      </w:tr>
      <w:tr w:rsidR="00F91B1E" w:rsidRPr="00453F31" w14:paraId="51CF01ED" w14:textId="77777777" w:rsidTr="00A3243E">
        <w:trPr>
          <w:trHeight w:val="18"/>
        </w:trPr>
        <w:tc>
          <w:tcPr>
            <w:tcW w:w="10956" w:type="dxa"/>
            <w:gridSpan w:val="7"/>
          </w:tcPr>
          <w:p w14:paraId="65E9B4EE" w14:textId="77777777" w:rsidR="00F91B1E" w:rsidRPr="00453F31" w:rsidRDefault="00F91B1E" w:rsidP="00A3243E">
            <w:pPr>
              <w:rPr>
                <w:rFonts w:ascii="Calibri Light" w:hAnsi="Calibri Light" w:cs="Calibri Light"/>
                <w:sz w:val="20"/>
                <w:szCs w:val="20"/>
                <w:lang w:eastAsia="en-IN"/>
              </w:rPr>
            </w:pPr>
            <w:r w:rsidRPr="00453F31">
              <w:rPr>
                <w:b/>
                <w:bCs/>
                <w:sz w:val="20"/>
                <w:szCs w:val="20"/>
                <w:lang w:eastAsia="en-IN"/>
              </w:rPr>
              <w:t>Waiting Period:</w:t>
            </w:r>
          </w:p>
        </w:tc>
      </w:tr>
      <w:tr w:rsidR="00F91B1E" w:rsidRPr="00453F31" w14:paraId="367AB209" w14:textId="77777777" w:rsidTr="00A3243E">
        <w:trPr>
          <w:trHeight w:val="18"/>
        </w:trPr>
        <w:tc>
          <w:tcPr>
            <w:tcW w:w="10956" w:type="dxa"/>
            <w:gridSpan w:val="7"/>
          </w:tcPr>
          <w:p w14:paraId="0D89B76B"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w:t>
            </w:r>
            <w:r w:rsidRPr="00453F31">
              <w:rPr>
                <w:rFonts w:ascii="Calibri Light" w:hAnsi="Calibri Light" w:cs="Calibri Light"/>
                <w:sz w:val="20"/>
                <w:szCs w:val="20"/>
                <w:lang w:eastAsia="en-IN"/>
              </w:rPr>
              <w:tab/>
              <w:t>For Accidental Hospitalization no waiting period.</w:t>
            </w:r>
          </w:p>
          <w:p w14:paraId="774E40EF"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w:t>
            </w:r>
            <w:r w:rsidRPr="00453F31">
              <w:rPr>
                <w:rFonts w:ascii="Calibri Light" w:hAnsi="Calibri Light" w:cs="Calibri Light"/>
                <w:sz w:val="20"/>
                <w:szCs w:val="20"/>
                <w:lang w:eastAsia="en-IN"/>
              </w:rPr>
              <w:tab/>
              <w:t>Hospitalization for illness 30 days waiting period is applicable.</w:t>
            </w:r>
          </w:p>
          <w:p w14:paraId="101E1274"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w:t>
            </w:r>
            <w:r w:rsidRPr="00453F31">
              <w:rPr>
                <w:rFonts w:ascii="Calibri Light" w:hAnsi="Calibri Light" w:cs="Calibri Light"/>
                <w:sz w:val="20"/>
                <w:szCs w:val="20"/>
                <w:lang w:eastAsia="en-IN"/>
              </w:rPr>
              <w:tab/>
              <w:t>Pre-Existing disease waiting period is 24 Month</w:t>
            </w:r>
            <w:r>
              <w:rPr>
                <w:rFonts w:ascii="Calibri Light" w:hAnsi="Calibri Light" w:cs="Calibri Light"/>
                <w:sz w:val="20"/>
                <w:szCs w:val="20"/>
                <w:lang w:eastAsia="en-IN"/>
              </w:rPr>
              <w:t>s</w:t>
            </w:r>
            <w:r w:rsidRPr="00453F31">
              <w:rPr>
                <w:rFonts w:ascii="Calibri Light" w:hAnsi="Calibri Light" w:cs="Calibri Light"/>
                <w:sz w:val="20"/>
                <w:szCs w:val="20"/>
                <w:lang w:eastAsia="en-IN"/>
              </w:rPr>
              <w:t>.</w:t>
            </w:r>
          </w:p>
          <w:p w14:paraId="6CB6A8E8"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w:t>
            </w:r>
            <w:r w:rsidRPr="00453F31">
              <w:rPr>
                <w:rFonts w:ascii="Calibri Light" w:hAnsi="Calibri Light" w:cs="Calibri Light"/>
                <w:sz w:val="20"/>
                <w:szCs w:val="20"/>
                <w:lang w:eastAsia="en-IN"/>
              </w:rPr>
              <w:tab/>
              <w:t>Specific disease waiting period is 24 Month</w:t>
            </w:r>
            <w:r>
              <w:rPr>
                <w:rFonts w:ascii="Calibri Light" w:hAnsi="Calibri Light" w:cs="Calibri Light"/>
                <w:sz w:val="20"/>
                <w:szCs w:val="20"/>
                <w:lang w:eastAsia="en-IN"/>
              </w:rPr>
              <w:t>s</w:t>
            </w:r>
            <w:r w:rsidRPr="00453F31">
              <w:rPr>
                <w:rFonts w:ascii="Calibri Light" w:hAnsi="Calibri Light" w:cs="Calibri Light"/>
                <w:sz w:val="20"/>
                <w:szCs w:val="20"/>
                <w:lang w:eastAsia="en-IN"/>
              </w:rPr>
              <w:t>.</w:t>
            </w:r>
          </w:p>
        </w:tc>
      </w:tr>
      <w:tr w:rsidR="00F91B1E" w:rsidRPr="00453F31" w14:paraId="32A86292" w14:textId="77777777" w:rsidTr="00A3243E">
        <w:trPr>
          <w:trHeight w:val="18"/>
        </w:trPr>
        <w:tc>
          <w:tcPr>
            <w:tcW w:w="10956" w:type="dxa"/>
            <w:gridSpan w:val="7"/>
          </w:tcPr>
          <w:p w14:paraId="1C0CD086" w14:textId="77777777" w:rsidR="00F91B1E" w:rsidRPr="00453F31" w:rsidRDefault="00F91B1E" w:rsidP="00A3243E">
            <w:pPr>
              <w:rPr>
                <w:rFonts w:ascii="Calibri Light" w:hAnsi="Calibri Light" w:cs="Calibri Light"/>
                <w:sz w:val="20"/>
                <w:szCs w:val="20"/>
                <w:lang w:eastAsia="en-IN"/>
              </w:rPr>
            </w:pPr>
            <w:r w:rsidRPr="00453F31">
              <w:rPr>
                <w:b/>
                <w:bCs/>
                <w:sz w:val="20"/>
                <w:szCs w:val="20"/>
                <w:lang w:eastAsia="en-IN"/>
              </w:rPr>
              <w:t>Policy Buy Journey:</w:t>
            </w:r>
            <w:r w:rsidRPr="00453F31">
              <w:t xml:space="preserve">  </w:t>
            </w:r>
            <w:r w:rsidRPr="00453F31">
              <w:rPr>
                <w:sz w:val="20"/>
                <w:szCs w:val="20"/>
                <w:lang w:eastAsia="en-IN"/>
              </w:rPr>
              <w:t>Policy can be purchased through online and offline both options available</w:t>
            </w:r>
          </w:p>
        </w:tc>
      </w:tr>
      <w:tr w:rsidR="00F91B1E" w:rsidRPr="00453F31" w14:paraId="532ACB15" w14:textId="77777777" w:rsidTr="00A3243E">
        <w:trPr>
          <w:trHeight w:val="18"/>
        </w:trPr>
        <w:tc>
          <w:tcPr>
            <w:tcW w:w="10956" w:type="dxa"/>
            <w:gridSpan w:val="7"/>
          </w:tcPr>
          <w:p w14:paraId="00DA563B" w14:textId="77777777" w:rsidR="00F91B1E" w:rsidRPr="00453F31" w:rsidRDefault="00F91B1E" w:rsidP="00A3243E">
            <w:pPr>
              <w:rPr>
                <w:rFonts w:ascii="Calibri Light" w:hAnsi="Calibri Light" w:cs="Calibri Light"/>
                <w:b/>
                <w:bCs/>
                <w:sz w:val="20"/>
                <w:szCs w:val="20"/>
                <w:lang w:eastAsia="en-IN"/>
              </w:rPr>
            </w:pPr>
            <w:r w:rsidRPr="00453F31">
              <w:rPr>
                <w:b/>
                <w:bCs/>
                <w:sz w:val="20"/>
                <w:szCs w:val="20"/>
                <w:lang w:eastAsia="en-IN"/>
              </w:rPr>
              <w:t>Claim Process for Cashless and Reimbursement</w:t>
            </w:r>
          </w:p>
        </w:tc>
      </w:tr>
      <w:tr w:rsidR="00F91B1E" w:rsidRPr="00453F31" w14:paraId="29915B1C" w14:textId="77777777" w:rsidTr="00A3243E">
        <w:trPr>
          <w:trHeight w:val="18"/>
        </w:trPr>
        <w:tc>
          <w:tcPr>
            <w:tcW w:w="10956" w:type="dxa"/>
            <w:gridSpan w:val="7"/>
          </w:tcPr>
          <w:p w14:paraId="2BBDC092"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Intimation: Information regarding Intimation of Claim: Customer or individual claiming on customer’s behalf must promptly, compulsorily and in any event within 48 hours of admission to a Hospital give intimation of claim including written information or telephonic intimation to Bajaj Allianz’s Call Centre on the number (1800 103 2529) provided on the health card. Intimation should include details of policy number, card number of claimant, name of claimant, name of hospital, contact number and address of hospital, complaints/ailment/diagnosis for which treatment is being sought, room type and estimated expenses.</w:t>
            </w:r>
          </w:p>
        </w:tc>
      </w:tr>
      <w:tr w:rsidR="00F91B1E" w:rsidRPr="00453F31" w14:paraId="4F05C2E4" w14:textId="77777777" w:rsidTr="00A3243E">
        <w:trPr>
          <w:trHeight w:val="18"/>
        </w:trPr>
        <w:tc>
          <w:tcPr>
            <w:tcW w:w="10956" w:type="dxa"/>
            <w:gridSpan w:val="7"/>
          </w:tcPr>
          <w:p w14:paraId="4861123E" w14:textId="77777777" w:rsidR="00F91B1E" w:rsidRPr="00453F31" w:rsidRDefault="00F91B1E" w:rsidP="00A3243E">
            <w:pPr>
              <w:rPr>
                <w:rFonts w:ascii="Calibri Light" w:hAnsi="Calibri Light" w:cs="Calibri Light"/>
                <w:b/>
                <w:bCs/>
                <w:sz w:val="20"/>
                <w:szCs w:val="20"/>
                <w:lang w:eastAsia="en-IN"/>
              </w:rPr>
            </w:pPr>
            <w:r w:rsidRPr="00453F31">
              <w:rPr>
                <w:b/>
                <w:bCs/>
                <w:sz w:val="20"/>
                <w:szCs w:val="20"/>
                <w:lang w:eastAsia="en-IN"/>
              </w:rPr>
              <w:lastRenderedPageBreak/>
              <w:t>Cashless Request:</w:t>
            </w:r>
          </w:p>
        </w:tc>
      </w:tr>
      <w:tr w:rsidR="00F91B1E" w:rsidRPr="00453F31" w14:paraId="376596BB" w14:textId="77777777" w:rsidTr="00A3243E">
        <w:trPr>
          <w:trHeight w:val="18"/>
        </w:trPr>
        <w:tc>
          <w:tcPr>
            <w:tcW w:w="10956" w:type="dxa"/>
            <w:gridSpan w:val="7"/>
          </w:tcPr>
          <w:p w14:paraId="2B129406"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Need to show the Health ID card of the patient to avail Cashless facility at our Network Hospital helpdesk.</w:t>
            </w:r>
          </w:p>
          <w:p w14:paraId="02C572F0"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Hospital formalities shall be completed and Pre-authorization form shall be send at Bajaj Allianz through Email or Hospital portal. </w:t>
            </w:r>
          </w:p>
          <w:p w14:paraId="6BD722F9"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For status you can utilize our web links or connect to our call </w:t>
            </w:r>
            <w:proofErr w:type="spellStart"/>
            <w:r w:rsidRPr="00453F31">
              <w:rPr>
                <w:rFonts w:ascii="Calibri Light" w:hAnsi="Calibri Light" w:cs="Calibri Light"/>
                <w:sz w:val="20"/>
                <w:szCs w:val="20"/>
                <w:lang w:eastAsia="en-IN"/>
              </w:rPr>
              <w:t>center</w:t>
            </w:r>
            <w:proofErr w:type="spellEnd"/>
            <w:r w:rsidRPr="00453F31">
              <w:rPr>
                <w:rFonts w:ascii="Calibri Light" w:hAnsi="Calibri Light" w:cs="Calibri Light"/>
                <w:sz w:val="20"/>
                <w:szCs w:val="20"/>
                <w:lang w:eastAsia="en-IN"/>
              </w:rPr>
              <w:t xml:space="preserve"> (Toll Free: 1800 103 2529)</w:t>
            </w:r>
          </w:p>
        </w:tc>
      </w:tr>
      <w:tr w:rsidR="00F91B1E" w:rsidRPr="00453F31" w14:paraId="7305C1F1" w14:textId="77777777" w:rsidTr="00A3243E">
        <w:trPr>
          <w:trHeight w:val="18"/>
        </w:trPr>
        <w:tc>
          <w:tcPr>
            <w:tcW w:w="10956" w:type="dxa"/>
            <w:gridSpan w:val="7"/>
          </w:tcPr>
          <w:p w14:paraId="4F546078" w14:textId="77777777" w:rsidR="00F91B1E" w:rsidRPr="00453F31" w:rsidRDefault="00F91B1E" w:rsidP="00A3243E">
            <w:pPr>
              <w:rPr>
                <w:rFonts w:ascii="Calibri Light" w:hAnsi="Calibri Light" w:cs="Calibri Light"/>
                <w:sz w:val="20"/>
                <w:szCs w:val="20"/>
                <w:lang w:eastAsia="en-IN"/>
              </w:rPr>
            </w:pPr>
            <w:r w:rsidRPr="00453F31">
              <w:rPr>
                <w:sz w:val="20"/>
                <w:szCs w:val="20"/>
                <w:lang w:eastAsia="en-IN"/>
              </w:rPr>
              <w:t>Reimbursement:</w:t>
            </w:r>
            <w:r w:rsidRPr="00453F31">
              <w:t xml:space="preserve"> </w:t>
            </w:r>
            <w:r w:rsidRPr="00453F31">
              <w:rPr>
                <w:sz w:val="20"/>
                <w:szCs w:val="20"/>
                <w:lang w:eastAsia="en-IN"/>
              </w:rPr>
              <w:t>Customers are required to send hardcopies within 30 days post discharge on below address</w:t>
            </w:r>
          </w:p>
        </w:tc>
      </w:tr>
      <w:tr w:rsidR="00F91B1E" w:rsidRPr="00453F31" w14:paraId="628FFFD4" w14:textId="77777777" w:rsidTr="00A3243E">
        <w:trPr>
          <w:trHeight w:val="18"/>
        </w:trPr>
        <w:tc>
          <w:tcPr>
            <w:tcW w:w="10956" w:type="dxa"/>
            <w:gridSpan w:val="7"/>
          </w:tcPr>
          <w:p w14:paraId="3EEE3F66"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Bajaj Allianz General Insurance Co. Ltd.</w:t>
            </w:r>
          </w:p>
          <w:p w14:paraId="550307D7"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Bajaj </w:t>
            </w:r>
            <w:proofErr w:type="spellStart"/>
            <w:r w:rsidRPr="00453F31">
              <w:rPr>
                <w:rFonts w:ascii="Calibri Light" w:hAnsi="Calibri Light" w:cs="Calibri Light"/>
                <w:sz w:val="20"/>
                <w:szCs w:val="20"/>
                <w:lang w:eastAsia="en-IN"/>
              </w:rPr>
              <w:t>Finserv</w:t>
            </w:r>
            <w:proofErr w:type="spellEnd"/>
            <w:r w:rsidRPr="00453F31">
              <w:rPr>
                <w:rFonts w:ascii="Calibri Light" w:hAnsi="Calibri Light" w:cs="Calibri Light"/>
                <w:sz w:val="20"/>
                <w:szCs w:val="20"/>
                <w:lang w:eastAsia="en-IN"/>
              </w:rPr>
              <w:t xml:space="preserve"> Building, A -Wing 2nd Floor, Bajaj </w:t>
            </w:r>
            <w:proofErr w:type="spellStart"/>
            <w:r w:rsidRPr="00453F31">
              <w:rPr>
                <w:rFonts w:ascii="Calibri Light" w:hAnsi="Calibri Light" w:cs="Calibri Light"/>
                <w:sz w:val="20"/>
                <w:szCs w:val="20"/>
                <w:lang w:eastAsia="en-IN"/>
              </w:rPr>
              <w:t>Finserv</w:t>
            </w:r>
            <w:proofErr w:type="spellEnd"/>
            <w:r w:rsidRPr="00453F31">
              <w:rPr>
                <w:rFonts w:ascii="Calibri Light" w:hAnsi="Calibri Light" w:cs="Calibri Light"/>
                <w:sz w:val="20"/>
                <w:szCs w:val="20"/>
                <w:lang w:eastAsia="en-IN"/>
              </w:rPr>
              <w:t xml:space="preserve"> Building, Behind Weikfield IT Park , </w:t>
            </w:r>
          </w:p>
          <w:p w14:paraId="7050B080" w14:textId="77777777" w:rsidR="00F91B1E" w:rsidRPr="00453F31" w:rsidRDefault="00F91B1E" w:rsidP="00A3243E">
            <w:pPr>
              <w:rPr>
                <w:rFonts w:ascii="Calibri Light" w:hAnsi="Calibri Light" w:cs="Calibri Light"/>
                <w:sz w:val="20"/>
                <w:szCs w:val="20"/>
                <w:lang w:eastAsia="en-IN"/>
              </w:rPr>
            </w:pPr>
            <w:r w:rsidRPr="00453F31">
              <w:rPr>
                <w:rFonts w:ascii="Calibri Light" w:hAnsi="Calibri Light" w:cs="Calibri Light"/>
                <w:sz w:val="20"/>
                <w:szCs w:val="20"/>
                <w:lang w:eastAsia="en-IN"/>
              </w:rPr>
              <w:t>Off Nagar Road, Viman Nagar, Pune - 411 014, Maharashtra</w:t>
            </w:r>
          </w:p>
        </w:tc>
      </w:tr>
      <w:tr w:rsidR="00F91B1E" w:rsidRPr="00453F31" w14:paraId="12A4011F" w14:textId="77777777" w:rsidTr="00A3243E">
        <w:trPr>
          <w:trHeight w:val="18"/>
        </w:trPr>
        <w:tc>
          <w:tcPr>
            <w:tcW w:w="10956" w:type="dxa"/>
            <w:gridSpan w:val="7"/>
          </w:tcPr>
          <w:p w14:paraId="4956666B" w14:textId="77777777" w:rsidR="00F91B1E" w:rsidRPr="00453F31" w:rsidRDefault="00F91B1E" w:rsidP="00A3243E">
            <w:pPr>
              <w:rPr>
                <w:rFonts w:ascii="Calibri Light" w:hAnsi="Calibri Light" w:cs="Calibri Light"/>
                <w:sz w:val="20"/>
                <w:szCs w:val="20"/>
                <w:lang w:eastAsia="en-IN"/>
              </w:rPr>
            </w:pPr>
            <w:r w:rsidRPr="00453F31">
              <w:rPr>
                <w:sz w:val="20"/>
                <w:szCs w:val="20"/>
                <w:lang w:eastAsia="en-IN"/>
              </w:rPr>
              <w:t xml:space="preserve">Claim status can be viewed on :- </w:t>
            </w:r>
            <w:hyperlink r:id="rId5" w:history="1">
              <w:r w:rsidRPr="00453F31">
                <w:rPr>
                  <w:rStyle w:val="Hyperlink"/>
                  <w:sz w:val="20"/>
                  <w:szCs w:val="20"/>
                  <w:lang w:eastAsia="en-IN"/>
                </w:rPr>
                <w:t>https://general.bajajallianz.com/BagicNxt/InHouseSP/hm/externalUserCC.jsp</w:t>
              </w:r>
            </w:hyperlink>
            <w:r w:rsidRPr="00453F31">
              <w:rPr>
                <w:sz w:val="20"/>
                <w:szCs w:val="20"/>
                <w:lang w:eastAsia="en-IN"/>
              </w:rPr>
              <w:t xml:space="preserve"> </w:t>
            </w:r>
          </w:p>
        </w:tc>
      </w:tr>
      <w:tr w:rsidR="00F91B1E" w:rsidRPr="00453F31" w14:paraId="7B5D4B2A" w14:textId="77777777" w:rsidTr="00A3243E">
        <w:trPr>
          <w:trHeight w:val="18"/>
        </w:trPr>
        <w:tc>
          <w:tcPr>
            <w:tcW w:w="3810" w:type="dxa"/>
            <w:gridSpan w:val="2"/>
            <w:vMerge w:val="restart"/>
            <w:vAlign w:val="center"/>
          </w:tcPr>
          <w:p w14:paraId="38CBCB78" w14:textId="77777777" w:rsidR="00F91B1E" w:rsidRPr="00453F31" w:rsidRDefault="00F91B1E" w:rsidP="00A3243E">
            <w:pPr>
              <w:rPr>
                <w:sz w:val="20"/>
                <w:szCs w:val="20"/>
                <w:lang w:eastAsia="en-IN"/>
              </w:rPr>
            </w:pPr>
            <w:r w:rsidRPr="00453F31">
              <w:rPr>
                <w:b/>
                <w:bCs/>
                <w:sz w:val="20"/>
                <w:szCs w:val="20"/>
                <w:lang w:eastAsia="en-IN"/>
              </w:rPr>
              <w:t>Claims escalation matrix</w:t>
            </w:r>
          </w:p>
        </w:tc>
        <w:tc>
          <w:tcPr>
            <w:tcW w:w="2989" w:type="dxa"/>
            <w:gridSpan w:val="3"/>
            <w:vAlign w:val="center"/>
          </w:tcPr>
          <w:p w14:paraId="7D497FD3" w14:textId="77777777" w:rsidR="00F91B1E" w:rsidRPr="00453F31" w:rsidRDefault="00F91B1E" w:rsidP="00A3243E">
            <w:pPr>
              <w:rPr>
                <w:sz w:val="20"/>
                <w:szCs w:val="20"/>
                <w:lang w:eastAsia="en-IN"/>
              </w:rPr>
            </w:pPr>
            <w:r w:rsidRPr="00453F31">
              <w:rPr>
                <w:b/>
                <w:bCs/>
                <w:sz w:val="20"/>
                <w:szCs w:val="20"/>
                <w:lang w:eastAsia="en-IN"/>
              </w:rPr>
              <w:t>SPOC</w:t>
            </w:r>
          </w:p>
        </w:tc>
        <w:tc>
          <w:tcPr>
            <w:tcW w:w="4157" w:type="dxa"/>
            <w:gridSpan w:val="2"/>
            <w:vAlign w:val="center"/>
          </w:tcPr>
          <w:p w14:paraId="07B9BB90" w14:textId="77777777" w:rsidR="00F91B1E" w:rsidRPr="00453F31" w:rsidRDefault="00F91B1E" w:rsidP="00A3243E">
            <w:pPr>
              <w:rPr>
                <w:sz w:val="20"/>
                <w:szCs w:val="20"/>
                <w:lang w:eastAsia="en-IN"/>
              </w:rPr>
            </w:pPr>
            <w:hyperlink r:id="rId6" w:history="1">
              <w:r w:rsidRPr="00D107E6">
                <w:rPr>
                  <w:rStyle w:val="Hyperlink"/>
                  <w:sz w:val="20"/>
                  <w:szCs w:val="20"/>
                  <w:lang w:eastAsia="en-IN"/>
                </w:rPr>
                <w:t>Preauth@bajajallianz.co.in</w:t>
              </w:r>
            </w:hyperlink>
          </w:p>
        </w:tc>
      </w:tr>
      <w:tr w:rsidR="00F91B1E" w:rsidRPr="00453F31" w14:paraId="6E2AF7C2" w14:textId="77777777" w:rsidTr="00A3243E">
        <w:trPr>
          <w:trHeight w:val="18"/>
        </w:trPr>
        <w:tc>
          <w:tcPr>
            <w:tcW w:w="3810" w:type="dxa"/>
            <w:gridSpan w:val="2"/>
            <w:vMerge/>
          </w:tcPr>
          <w:p w14:paraId="451991E1" w14:textId="77777777" w:rsidR="00F91B1E" w:rsidRPr="00453F31" w:rsidRDefault="00F91B1E" w:rsidP="00A3243E">
            <w:pPr>
              <w:rPr>
                <w:sz w:val="20"/>
                <w:szCs w:val="20"/>
                <w:lang w:eastAsia="en-IN"/>
              </w:rPr>
            </w:pPr>
          </w:p>
        </w:tc>
        <w:tc>
          <w:tcPr>
            <w:tcW w:w="2989" w:type="dxa"/>
            <w:gridSpan w:val="3"/>
            <w:vAlign w:val="center"/>
          </w:tcPr>
          <w:p w14:paraId="00FE35E4" w14:textId="77777777" w:rsidR="00F91B1E" w:rsidRPr="00453F31" w:rsidRDefault="00F91B1E" w:rsidP="00A3243E">
            <w:pPr>
              <w:rPr>
                <w:sz w:val="20"/>
                <w:szCs w:val="20"/>
                <w:lang w:eastAsia="en-IN"/>
              </w:rPr>
            </w:pPr>
            <w:r w:rsidRPr="00453F31">
              <w:rPr>
                <w:sz w:val="20"/>
                <w:szCs w:val="20"/>
                <w:lang w:eastAsia="en-IN"/>
              </w:rPr>
              <w:t>1st Escalation</w:t>
            </w:r>
          </w:p>
        </w:tc>
        <w:tc>
          <w:tcPr>
            <w:tcW w:w="4157" w:type="dxa"/>
            <w:gridSpan w:val="2"/>
            <w:vAlign w:val="center"/>
          </w:tcPr>
          <w:p w14:paraId="33661471" w14:textId="77777777" w:rsidR="00F91B1E" w:rsidRPr="00453F31" w:rsidRDefault="00F91B1E" w:rsidP="00A3243E">
            <w:pPr>
              <w:rPr>
                <w:sz w:val="20"/>
                <w:szCs w:val="20"/>
                <w:lang w:eastAsia="en-IN"/>
              </w:rPr>
            </w:pPr>
            <w:hyperlink r:id="rId7" w:tgtFrame="_blank" w:tooltip="mailto:sandip.harak@bajajallianz.co.in" w:history="1">
              <w:r w:rsidRPr="00453F31">
                <w:rPr>
                  <w:sz w:val="20"/>
                  <w:szCs w:val="20"/>
                  <w:lang w:eastAsia="en-IN"/>
                </w:rPr>
                <w:t>Sandip.Harak@bajajallianz.co.in</w:t>
              </w:r>
            </w:hyperlink>
          </w:p>
        </w:tc>
      </w:tr>
      <w:tr w:rsidR="00F91B1E" w:rsidRPr="00453F31" w14:paraId="7661AA50" w14:textId="77777777" w:rsidTr="00A3243E">
        <w:trPr>
          <w:trHeight w:val="18"/>
        </w:trPr>
        <w:tc>
          <w:tcPr>
            <w:tcW w:w="3810" w:type="dxa"/>
            <w:gridSpan w:val="2"/>
            <w:vMerge/>
          </w:tcPr>
          <w:p w14:paraId="016FC87A" w14:textId="77777777" w:rsidR="00F91B1E" w:rsidRPr="00453F31" w:rsidRDefault="00F91B1E" w:rsidP="00A3243E">
            <w:pPr>
              <w:rPr>
                <w:sz w:val="20"/>
                <w:szCs w:val="20"/>
                <w:lang w:eastAsia="en-IN"/>
              </w:rPr>
            </w:pPr>
          </w:p>
        </w:tc>
        <w:tc>
          <w:tcPr>
            <w:tcW w:w="2989" w:type="dxa"/>
            <w:gridSpan w:val="3"/>
            <w:vAlign w:val="center"/>
          </w:tcPr>
          <w:p w14:paraId="386A96E9" w14:textId="77777777" w:rsidR="00F91B1E" w:rsidRPr="00453F31" w:rsidRDefault="00F91B1E" w:rsidP="00A3243E">
            <w:pPr>
              <w:rPr>
                <w:sz w:val="20"/>
                <w:szCs w:val="20"/>
                <w:lang w:eastAsia="en-IN"/>
              </w:rPr>
            </w:pPr>
            <w:r w:rsidRPr="00453F31">
              <w:rPr>
                <w:sz w:val="20"/>
                <w:szCs w:val="20"/>
                <w:lang w:eastAsia="en-IN"/>
              </w:rPr>
              <w:t>2nd Escalation</w:t>
            </w:r>
          </w:p>
        </w:tc>
        <w:tc>
          <w:tcPr>
            <w:tcW w:w="4157" w:type="dxa"/>
            <w:gridSpan w:val="2"/>
            <w:vAlign w:val="center"/>
          </w:tcPr>
          <w:p w14:paraId="6C2C3106" w14:textId="77777777" w:rsidR="00F91B1E" w:rsidRPr="00453F31" w:rsidRDefault="00F91B1E" w:rsidP="00A3243E">
            <w:pPr>
              <w:rPr>
                <w:sz w:val="20"/>
                <w:szCs w:val="20"/>
                <w:lang w:eastAsia="en-IN"/>
              </w:rPr>
            </w:pPr>
            <w:hyperlink r:id="rId8" w:tgtFrame="_blank" w:tooltip="mailto:ashish.rasal@bajajallianz.co.in" w:history="1">
              <w:r w:rsidRPr="00453F31">
                <w:rPr>
                  <w:sz w:val="20"/>
                  <w:szCs w:val="20"/>
                  <w:lang w:eastAsia="en-IN"/>
                </w:rPr>
                <w:t>ashish.rasal@bajajallianz.co.in</w:t>
              </w:r>
            </w:hyperlink>
          </w:p>
        </w:tc>
      </w:tr>
      <w:tr w:rsidR="00F91B1E" w:rsidRPr="00453F31" w14:paraId="355D6E5B" w14:textId="77777777" w:rsidTr="00A3243E">
        <w:trPr>
          <w:trHeight w:val="18"/>
        </w:trPr>
        <w:tc>
          <w:tcPr>
            <w:tcW w:w="3810" w:type="dxa"/>
            <w:gridSpan w:val="2"/>
            <w:vMerge/>
          </w:tcPr>
          <w:p w14:paraId="1BCFB813" w14:textId="77777777" w:rsidR="00F91B1E" w:rsidRPr="00453F31" w:rsidRDefault="00F91B1E" w:rsidP="00A3243E">
            <w:pPr>
              <w:rPr>
                <w:sz w:val="20"/>
                <w:szCs w:val="20"/>
                <w:lang w:eastAsia="en-IN"/>
              </w:rPr>
            </w:pPr>
          </w:p>
        </w:tc>
        <w:tc>
          <w:tcPr>
            <w:tcW w:w="2989" w:type="dxa"/>
            <w:gridSpan w:val="3"/>
            <w:vAlign w:val="center"/>
          </w:tcPr>
          <w:p w14:paraId="0AD571DE" w14:textId="77777777" w:rsidR="00F91B1E" w:rsidRPr="00453F31" w:rsidRDefault="00F91B1E" w:rsidP="00A3243E">
            <w:pPr>
              <w:rPr>
                <w:sz w:val="20"/>
                <w:szCs w:val="20"/>
                <w:lang w:eastAsia="en-IN"/>
              </w:rPr>
            </w:pPr>
            <w:r w:rsidRPr="00453F31">
              <w:rPr>
                <w:sz w:val="20"/>
                <w:szCs w:val="20"/>
                <w:lang w:eastAsia="en-IN"/>
              </w:rPr>
              <w:t>3rd Escalation</w:t>
            </w:r>
          </w:p>
        </w:tc>
        <w:tc>
          <w:tcPr>
            <w:tcW w:w="4157" w:type="dxa"/>
            <w:gridSpan w:val="2"/>
            <w:vAlign w:val="center"/>
          </w:tcPr>
          <w:p w14:paraId="397E17A2" w14:textId="77777777" w:rsidR="00F91B1E" w:rsidRPr="00453F31" w:rsidRDefault="00F91B1E" w:rsidP="00A3243E">
            <w:pPr>
              <w:rPr>
                <w:sz w:val="20"/>
                <w:szCs w:val="20"/>
                <w:lang w:eastAsia="en-IN"/>
              </w:rPr>
            </w:pPr>
            <w:hyperlink r:id="rId9" w:tgtFrame="_blank" w:tooltip="mailto:tejveer.singh@bajajallianz.co.in" w:history="1">
              <w:r w:rsidRPr="00453F31">
                <w:rPr>
                  <w:sz w:val="20"/>
                  <w:szCs w:val="20"/>
                  <w:lang w:eastAsia="en-IN"/>
                </w:rPr>
                <w:t>Tejveer.Singh@bajajallianz.co.in</w:t>
              </w:r>
            </w:hyperlink>
          </w:p>
        </w:tc>
      </w:tr>
      <w:tr w:rsidR="00F91B1E" w:rsidRPr="00453F31" w14:paraId="51A5B74F" w14:textId="77777777" w:rsidTr="00A3243E">
        <w:trPr>
          <w:trHeight w:val="18"/>
        </w:trPr>
        <w:tc>
          <w:tcPr>
            <w:tcW w:w="10956" w:type="dxa"/>
            <w:gridSpan w:val="7"/>
          </w:tcPr>
          <w:p w14:paraId="5C5F5DFE" w14:textId="77777777" w:rsidR="00F91B1E" w:rsidRPr="00453F31" w:rsidRDefault="00F91B1E" w:rsidP="00A3243E">
            <w:pPr>
              <w:rPr>
                <w:rFonts w:ascii="Calibri Light" w:hAnsi="Calibri Light" w:cs="Calibri Light"/>
                <w:b/>
                <w:bCs/>
                <w:sz w:val="20"/>
                <w:szCs w:val="20"/>
                <w:lang w:eastAsia="en-IN"/>
              </w:rPr>
            </w:pPr>
            <w:r w:rsidRPr="00453F31">
              <w:rPr>
                <w:b/>
                <w:bCs/>
                <w:sz w:val="20"/>
                <w:szCs w:val="20"/>
                <w:lang w:eastAsia="en-IN"/>
              </w:rPr>
              <w:t>General Exclusions:</w:t>
            </w:r>
          </w:p>
        </w:tc>
      </w:tr>
      <w:tr w:rsidR="00F91B1E" w:rsidRPr="00453F31" w14:paraId="4DBBA57A" w14:textId="77777777" w:rsidTr="00A3243E">
        <w:trPr>
          <w:trHeight w:val="18"/>
        </w:trPr>
        <w:tc>
          <w:tcPr>
            <w:tcW w:w="10956" w:type="dxa"/>
            <w:gridSpan w:val="7"/>
          </w:tcPr>
          <w:p w14:paraId="5D7629F7"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1. Investigation &amp; Evaluation a) Expenses related to any admission primarily for diagnostics and evaluation purposes only are excluded even if the same requires confinement at a hospital. b) Any diagnostic expenses which are not related or not incidental to the current diagnosis and treatment are excluded. 2. Rest Cure, rehabilitation and respite care a) Expenses related to any admission primarily for enforced bed rest and not for receiving treatment.</w:t>
            </w:r>
          </w:p>
          <w:p w14:paraId="1934C186"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Any dental treatment that comprises of cosmetic surgery, </w:t>
            </w:r>
          </w:p>
          <w:p w14:paraId="17F0EE86"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 2. Medical Expenses where Inpatient care is not warranted and does not require supervision of qualified nursing staff and qualified medical practitioner round the clock </w:t>
            </w:r>
          </w:p>
          <w:p w14:paraId="10FB510A"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3. War, invasion, acts of foreign enemies, hostilities (whether war be declared or not), civil war, commotion, unrest, rebellion, revolution, insurrection, military or usurped power or confiscation or nationalization or requisition of or damage by or under the order of any government or public local authority. Any Medical Expenses incurred due to Act of Terrorism will be covered under the Certificate of Insurance</w:t>
            </w:r>
          </w:p>
          <w:p w14:paraId="1460B59E"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Note: Above  write up is summary of Product feature along with Basic Terms &amp; Conditions. For More information.</w:t>
            </w:r>
          </w:p>
          <w:p w14:paraId="5D241EBA" w14:textId="77777777" w:rsidR="00F91B1E" w:rsidRPr="00453F31" w:rsidRDefault="00F91B1E" w:rsidP="00A3243E">
            <w:pPr>
              <w:jc w:val="both"/>
              <w:rPr>
                <w:rFonts w:ascii="Calibri Light" w:hAnsi="Calibri Light" w:cs="Calibri Light"/>
                <w:sz w:val="20"/>
                <w:szCs w:val="20"/>
                <w:lang w:eastAsia="en-IN"/>
              </w:rPr>
            </w:pPr>
            <w:r w:rsidRPr="00453F31">
              <w:rPr>
                <w:rFonts w:ascii="Calibri Light" w:hAnsi="Calibri Light" w:cs="Calibri Light"/>
                <w:sz w:val="20"/>
                <w:szCs w:val="20"/>
                <w:lang w:eastAsia="en-IN"/>
              </w:rPr>
              <w:t xml:space="preserve">Please refer policy wordings www.bajajallianz.co.in, All policy conditions will be available with Certificate of Insurance.  </w:t>
            </w:r>
          </w:p>
        </w:tc>
      </w:tr>
    </w:tbl>
    <w:p w14:paraId="32C82658" w14:textId="77777777" w:rsidR="00F91B1E" w:rsidRPr="00453F31" w:rsidRDefault="00F91B1E" w:rsidP="00F91B1E">
      <w:pPr>
        <w:spacing w:after="0" w:line="240" w:lineRule="auto"/>
        <w:ind w:left="-567" w:right="-1418"/>
        <w:rPr>
          <w:rFonts w:ascii="Calibri" w:hAnsi="Calibri" w:cs="Calibri"/>
          <w:bCs/>
          <w:sz w:val="20"/>
          <w:szCs w:val="20"/>
        </w:rPr>
      </w:pPr>
      <w:r w:rsidRPr="00453F31">
        <w:rPr>
          <w:rFonts w:ascii="Calibri" w:hAnsi="Calibri" w:cs="Calibri"/>
          <w:bCs/>
          <w:sz w:val="20"/>
          <w:szCs w:val="20"/>
        </w:rPr>
        <w:t>Note: Insurance Company will settle claims independently. Bank will not be a party to any dispute between claimants and Insurance company in relation to claim settlement or its process</w:t>
      </w:r>
    </w:p>
    <w:p w14:paraId="07310A41" w14:textId="77777777" w:rsidR="008941A6" w:rsidRDefault="008941A6"/>
    <w:sectPr w:rsidR="0089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E4D90"/>
    <w:multiLevelType w:val="hybridMultilevel"/>
    <w:tmpl w:val="6A50F3D2"/>
    <w:lvl w:ilvl="0" w:tplc="B4DE5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A93E6D"/>
    <w:multiLevelType w:val="hybridMultilevel"/>
    <w:tmpl w:val="EC90D724"/>
    <w:lvl w:ilvl="0" w:tplc="42AC25F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6E5F94"/>
    <w:multiLevelType w:val="hybridMultilevel"/>
    <w:tmpl w:val="C60C3EC6"/>
    <w:lvl w:ilvl="0" w:tplc="98486A2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0411818">
    <w:abstractNumId w:val="1"/>
  </w:num>
  <w:num w:numId="2" w16cid:durableId="503785363">
    <w:abstractNumId w:val="2"/>
  </w:num>
  <w:num w:numId="3" w16cid:durableId="52294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5E"/>
    <w:rsid w:val="0062175E"/>
    <w:rsid w:val="008941A6"/>
    <w:rsid w:val="00D13285"/>
    <w:rsid w:val="00E83875"/>
    <w:rsid w:val="00F91B1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A0A3E-1DB4-49BC-ACA0-DABB5E12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1E"/>
  </w:style>
  <w:style w:type="paragraph" w:styleId="Heading1">
    <w:name w:val="heading 1"/>
    <w:basedOn w:val="Normal"/>
    <w:next w:val="Normal"/>
    <w:link w:val="Heading1Char"/>
    <w:uiPriority w:val="9"/>
    <w:qFormat/>
    <w:rsid w:val="00621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75E"/>
    <w:rPr>
      <w:rFonts w:eastAsiaTheme="majorEastAsia" w:cstheme="majorBidi"/>
      <w:color w:val="272727" w:themeColor="text1" w:themeTint="D8"/>
    </w:rPr>
  </w:style>
  <w:style w:type="paragraph" w:styleId="Title">
    <w:name w:val="Title"/>
    <w:basedOn w:val="Normal"/>
    <w:next w:val="Normal"/>
    <w:link w:val="TitleChar"/>
    <w:uiPriority w:val="10"/>
    <w:qFormat/>
    <w:rsid w:val="00621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75E"/>
    <w:pPr>
      <w:spacing w:before="160"/>
      <w:jc w:val="center"/>
    </w:pPr>
    <w:rPr>
      <w:i/>
      <w:iCs/>
      <w:color w:val="404040" w:themeColor="text1" w:themeTint="BF"/>
    </w:rPr>
  </w:style>
  <w:style w:type="character" w:customStyle="1" w:styleId="QuoteChar">
    <w:name w:val="Quote Char"/>
    <w:basedOn w:val="DefaultParagraphFont"/>
    <w:link w:val="Quote"/>
    <w:uiPriority w:val="29"/>
    <w:rsid w:val="0062175E"/>
    <w:rPr>
      <w:i/>
      <w:iCs/>
      <w:color w:val="404040" w:themeColor="text1" w:themeTint="BF"/>
    </w:rPr>
  </w:style>
  <w:style w:type="paragraph" w:styleId="ListParagraph">
    <w:name w:val="List Paragraph"/>
    <w:aliases w:val="heading 9,Heading 91,List Paragraph1,Annexure,Report Para,Bullets,bullets,WinDForce-Letter,Medium Grid 1 - Accent 21,Colorful List - Accent 11,heading q0,Heading 92,Heading 911,Heading 9111,Heading 91111,Heading 911111,List Paragraph2,lp1"/>
    <w:basedOn w:val="Normal"/>
    <w:link w:val="ListParagraphChar"/>
    <w:uiPriority w:val="34"/>
    <w:qFormat/>
    <w:rsid w:val="0062175E"/>
    <w:pPr>
      <w:ind w:left="720"/>
      <w:contextualSpacing/>
    </w:pPr>
  </w:style>
  <w:style w:type="character" w:styleId="IntenseEmphasis">
    <w:name w:val="Intense Emphasis"/>
    <w:basedOn w:val="DefaultParagraphFont"/>
    <w:uiPriority w:val="21"/>
    <w:qFormat/>
    <w:rsid w:val="0062175E"/>
    <w:rPr>
      <w:i/>
      <w:iCs/>
      <w:color w:val="0F4761" w:themeColor="accent1" w:themeShade="BF"/>
    </w:rPr>
  </w:style>
  <w:style w:type="paragraph" w:styleId="IntenseQuote">
    <w:name w:val="Intense Quote"/>
    <w:basedOn w:val="Normal"/>
    <w:next w:val="Normal"/>
    <w:link w:val="IntenseQuoteChar"/>
    <w:uiPriority w:val="30"/>
    <w:qFormat/>
    <w:rsid w:val="00621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75E"/>
    <w:rPr>
      <w:i/>
      <w:iCs/>
      <w:color w:val="0F4761" w:themeColor="accent1" w:themeShade="BF"/>
    </w:rPr>
  </w:style>
  <w:style w:type="character" w:styleId="IntenseReference">
    <w:name w:val="Intense Reference"/>
    <w:basedOn w:val="DefaultParagraphFont"/>
    <w:uiPriority w:val="32"/>
    <w:qFormat/>
    <w:rsid w:val="0062175E"/>
    <w:rPr>
      <w:b/>
      <w:bCs/>
      <w:smallCaps/>
      <w:color w:val="0F4761" w:themeColor="accent1" w:themeShade="BF"/>
      <w:spacing w:val="5"/>
    </w:rPr>
  </w:style>
  <w:style w:type="paragraph" w:customStyle="1" w:styleId="Default">
    <w:name w:val="Default"/>
    <w:rsid w:val="00F91B1E"/>
    <w:pPr>
      <w:autoSpaceDE w:val="0"/>
      <w:autoSpaceDN w:val="0"/>
      <w:adjustRightInd w:val="0"/>
      <w:spacing w:after="0" w:line="240" w:lineRule="auto"/>
    </w:pPr>
    <w:rPr>
      <w:rFonts w:ascii="Bookman Old Style" w:hAnsi="Bookman Old Style" w:cs="Bookman Old Style"/>
      <w:color w:val="000000"/>
      <w:kern w:val="0"/>
      <w:sz w:val="24"/>
      <w:szCs w:val="24"/>
      <w:lang w:bidi="ar-SA"/>
    </w:rPr>
  </w:style>
  <w:style w:type="table" w:styleId="TableGrid">
    <w:name w:val="Table Grid"/>
    <w:basedOn w:val="TableNormal"/>
    <w:uiPriority w:val="39"/>
    <w:rsid w:val="00F9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91B1E"/>
    <w:pPr>
      <w:spacing w:after="0" w:line="240" w:lineRule="auto"/>
    </w:pPr>
    <w:rPr>
      <w:rFonts w:ascii="Calibri" w:eastAsia="Times New Roman" w:hAnsi="Calibri" w:cs="Times New Roman"/>
      <w:kern w:val="0"/>
      <w:lang w:val="en-US" w:bidi="ar-SA"/>
      <w14:ligatures w14:val="none"/>
    </w:rPr>
  </w:style>
  <w:style w:type="character" w:customStyle="1" w:styleId="NoSpacingChar">
    <w:name w:val="No Spacing Char"/>
    <w:link w:val="NoSpacing"/>
    <w:uiPriority w:val="1"/>
    <w:locked/>
    <w:rsid w:val="00F91B1E"/>
    <w:rPr>
      <w:rFonts w:ascii="Calibri" w:eastAsia="Times New Roman" w:hAnsi="Calibri" w:cs="Times New Roman"/>
      <w:kern w:val="0"/>
      <w:lang w:val="en-US" w:bidi="ar-SA"/>
      <w14:ligatures w14:val="none"/>
    </w:rPr>
  </w:style>
  <w:style w:type="character" w:customStyle="1" w:styleId="ListParagraphChar">
    <w:name w:val="List Paragraph Char"/>
    <w:aliases w:val="heading 9 Char,Heading 91 Char,List Paragraph1 Char,Annexure Char,Report Para Char,Bullets Char,bullets Char,WinDForce-Letter Char,Medium Grid 1 - Accent 21 Char,Colorful List - Accent 11 Char,heading q0 Char,Heading 92 Char,lp1 Char"/>
    <w:link w:val="ListParagraph"/>
    <w:uiPriority w:val="34"/>
    <w:qFormat/>
    <w:locked/>
    <w:rsid w:val="00F91B1E"/>
  </w:style>
  <w:style w:type="character" w:styleId="Hyperlink">
    <w:name w:val="Hyperlink"/>
    <w:basedOn w:val="DefaultParagraphFont"/>
    <w:uiPriority w:val="99"/>
    <w:unhideWhenUsed/>
    <w:rsid w:val="00F91B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ish.rasal@bajajallianz.co.in" TargetMode="External"/><Relationship Id="rId3" Type="http://schemas.openxmlformats.org/officeDocument/2006/relationships/settings" Target="settings.xml"/><Relationship Id="rId7" Type="http://schemas.openxmlformats.org/officeDocument/2006/relationships/hyperlink" Target="mailto:Sandip.Harak@bajajallianz.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auth@bajajallianz.co.in" TargetMode="External"/><Relationship Id="rId11" Type="http://schemas.openxmlformats.org/officeDocument/2006/relationships/theme" Target="theme/theme1.xml"/><Relationship Id="rId5" Type="http://schemas.openxmlformats.org/officeDocument/2006/relationships/hyperlink" Target="https://general.bajajallianz.com/BagicNxt/InHouseSP/hm/externalUserCC.j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jveer.Singh@bajajallianz.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2719</Words>
  <Characters>15501</Characters>
  <Application>Microsoft Office Word</Application>
  <DocSecurity>0</DocSecurity>
  <Lines>129</Lines>
  <Paragraphs>36</Paragraphs>
  <ScaleCrop>false</ScaleCrop>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Ramadass Govindarajan</dc:creator>
  <cp:keywords/>
  <dc:description/>
  <cp:lastModifiedBy>Ramadass Govindarajan</cp:lastModifiedBy>
  <cp:revision>2</cp:revision>
  <dcterms:created xsi:type="dcterms:W3CDTF">2025-05-07T13:38:00Z</dcterms:created>
  <dcterms:modified xsi:type="dcterms:W3CDTF">2025-05-07T13:38:00Z</dcterms:modified>
</cp:coreProperties>
</file>